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6E1344" w:rsidRDefault="00A30C82" w:rsidP="002B661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B6614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2B6614" w:rsidRPr="006E1344" w:rsidTr="002220E2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</w:tcPr>
          <w:p w:rsidR="002B6614" w:rsidRPr="00331541" w:rsidRDefault="002B6614" w:rsidP="002B6614">
            <w:pPr>
              <w:spacing w:line="312" w:lineRule="auto"/>
              <w:jc w:val="center"/>
              <w:rPr>
                <w:rFonts w:ascii="Georgia" w:hAnsi="Georgia" w:cs="Calibri"/>
                <w:b/>
                <w:sz w:val="20"/>
                <w:szCs w:val="24"/>
              </w:rPr>
            </w:pPr>
            <w:r w:rsidRPr="00331541">
              <w:rPr>
                <w:rFonts w:ascii="Georgia" w:hAnsi="Georgia" w:cs="Calibri"/>
                <w:b/>
                <w:sz w:val="20"/>
                <w:szCs w:val="24"/>
                <w:lang w:eastAsia="it-IT"/>
              </w:rPr>
              <w:t>GARA EUROPEA A PROCEDURA APERTA PER L’AFFIDAMENTO DELLA FORNITURA DI SERVIZI DI SVILUPPO DI APPLICATIVI ED EROGAZIONE IN MODALITÀ SAAS - SOFTWARE AS A SERVICE</w:t>
            </w:r>
          </w:p>
        </w:tc>
      </w:tr>
      <w:tr w:rsidR="002B6614" w:rsidRPr="006E1344" w:rsidTr="002220E2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</w:tcPr>
          <w:p w:rsidR="002B6614" w:rsidRDefault="002B6614" w:rsidP="002B6614">
            <w:pPr>
              <w:spacing w:line="312" w:lineRule="auto"/>
              <w:jc w:val="center"/>
              <w:rPr>
                <w:rFonts w:ascii="Georgia" w:hAnsi="Georgia" w:cs="Calibri"/>
                <w:b/>
                <w:sz w:val="20"/>
                <w:szCs w:val="24"/>
                <w:lang w:eastAsia="it-IT"/>
              </w:rPr>
            </w:pPr>
          </w:p>
          <w:p w:rsidR="002B6614" w:rsidRPr="00331541" w:rsidRDefault="002B6614" w:rsidP="002B6614">
            <w:pPr>
              <w:spacing w:line="312" w:lineRule="auto"/>
              <w:jc w:val="center"/>
              <w:rPr>
                <w:rFonts w:ascii="Georgia" w:hAnsi="Georgia" w:cs="Calibri"/>
                <w:b/>
                <w:sz w:val="20"/>
                <w:szCs w:val="24"/>
              </w:rPr>
            </w:pPr>
            <w:r w:rsidRPr="00331541">
              <w:rPr>
                <w:rFonts w:ascii="Georgia" w:hAnsi="Georgia" w:cs="Calibri"/>
                <w:b/>
                <w:sz w:val="20"/>
                <w:szCs w:val="24"/>
                <w:lang w:eastAsia="it-IT"/>
              </w:rPr>
              <w:t>CIG A007EF015F</w:t>
            </w:r>
          </w:p>
        </w:tc>
      </w:tr>
    </w:tbl>
    <w:p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:rsidR="002B6614" w:rsidRDefault="002B6614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</w:p>
    <w:p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bookmarkStart w:id="1" w:name="_GoBack"/>
      <w:bookmarkEnd w:id="1"/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2B661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2B6614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703B8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90CB-635C-4DF8-8A5B-372B32F5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420</Words>
  <Characters>2567</Characters>
  <Application>Microsoft Office Word</Application>
  <DocSecurity>0</DocSecurity>
  <Lines>37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22</cp:revision>
  <dcterms:created xsi:type="dcterms:W3CDTF">2022-03-01T08:21:00Z</dcterms:created>
  <dcterms:modified xsi:type="dcterms:W3CDTF">2023-08-25T14:24:00Z</dcterms:modified>
</cp:coreProperties>
</file>