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96388E" w:rsidRDefault="00AC5E1F" w:rsidP="0096388E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96388E">
        <w:rPr>
          <w:rFonts w:ascii="Cambria" w:eastAsia="Calibri" w:hAnsi="Cambria" w:cs="Calibri"/>
        </w:rPr>
        <w:t>del</w:t>
      </w:r>
      <w:r w:rsidR="0096388E" w:rsidRPr="0096388E">
        <w:rPr>
          <w:rFonts w:ascii="Cambria" w:eastAsia="Calibri" w:hAnsi="Cambria" w:cs="Calibri"/>
        </w:rPr>
        <w:t xml:space="preserve">la </w:t>
      </w:r>
      <w:r w:rsidR="009201F7" w:rsidRPr="009201F7">
        <w:rPr>
          <w:rFonts w:ascii="Cambria" w:eastAsia="Calibri" w:hAnsi="Cambria" w:cs="Calibri"/>
        </w:rPr>
        <w:t>fornitura di cinque (5) camere veloci dotate di spettrometro per misure di spettroscopia ottica risolta nel tempo per il Dipartimento di Fisica del Politecnico di Milano</w:t>
      </w:r>
      <w:r w:rsidR="009201F7">
        <w:rPr>
          <w:rFonts w:ascii="Cambria" w:eastAsia="Calibri" w:hAnsi="Cambria" w:cs="Calibri"/>
        </w:rPr>
        <w:t xml:space="preserve">, finanziata con i fondi dell’Unione Europea - </w:t>
      </w:r>
      <w:proofErr w:type="spellStart"/>
      <w:r w:rsidR="009201F7">
        <w:rPr>
          <w:rFonts w:ascii="Cambria" w:eastAsia="Calibri" w:hAnsi="Cambria" w:cs="Calibri"/>
        </w:rPr>
        <w:t>NextGeneration</w:t>
      </w:r>
      <w:bookmarkStart w:id="1" w:name="_GoBack"/>
      <w:bookmarkEnd w:id="1"/>
      <w:r w:rsidR="009201F7">
        <w:rPr>
          <w:rFonts w:ascii="Cambria" w:eastAsia="Calibri" w:hAnsi="Cambria" w:cs="Calibri"/>
        </w:rPr>
        <w:t>EU</w:t>
      </w:r>
      <w:proofErr w:type="spellEnd"/>
      <w:r w:rsidR="009201F7">
        <w:rPr>
          <w:rFonts w:ascii="Cambria" w:eastAsia="Calibri" w:hAnsi="Cambria" w:cs="Calibri"/>
        </w:rPr>
        <w:t xml:space="preserve"> </w:t>
      </w:r>
      <w:r w:rsidR="001953A3">
        <w:rPr>
          <w:rFonts w:ascii="Cambria" w:eastAsia="Calibri" w:hAnsi="Cambria" w:cs="Calibri"/>
        </w:rPr>
        <w:t xml:space="preserve">– CUP </w:t>
      </w:r>
      <w:r w:rsidR="009201F7" w:rsidRPr="009201F7">
        <w:rPr>
          <w:rFonts w:ascii="Cambria" w:eastAsia="Calibri" w:hAnsi="Cambria" w:cs="Calibri"/>
        </w:rPr>
        <w:t>B53C22001750006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96388E" w:rsidRPr="0096388E" w:rsidRDefault="0096388E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96388E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lastRenderedPageBreak/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4C" w:rsidRDefault="00C95D4C" w:rsidP="00FF689A">
      <w:pPr>
        <w:spacing w:after="0" w:line="240" w:lineRule="auto"/>
      </w:pPr>
      <w:r>
        <w:separator/>
      </w:r>
    </w:p>
  </w:endnote>
  <w:end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4C" w:rsidRDefault="00C95D4C" w:rsidP="00FF689A">
      <w:pPr>
        <w:spacing w:after="0" w:line="240" w:lineRule="auto"/>
      </w:pPr>
      <w:r>
        <w:separator/>
      </w:r>
    </w:p>
  </w:footnote>
  <w:foot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5F02B5"/>
    <w:rsid w:val="006A4FF6"/>
    <w:rsid w:val="008630B0"/>
    <w:rsid w:val="009201F7"/>
    <w:rsid w:val="00927887"/>
    <w:rsid w:val="0096388E"/>
    <w:rsid w:val="00971258"/>
    <w:rsid w:val="00997CC6"/>
    <w:rsid w:val="009A2AA1"/>
    <w:rsid w:val="009E58E1"/>
    <w:rsid w:val="00A1111B"/>
    <w:rsid w:val="00AC5E1F"/>
    <w:rsid w:val="00B767FF"/>
    <w:rsid w:val="00C95D4C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7DA2D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7E908-47E9-4D31-A9BC-C125FEAA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524</Words>
  <Characters>3219</Characters>
  <Application>Microsoft Office Word</Application>
  <DocSecurity>0</DocSecurity>
  <Lines>87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15</cp:revision>
  <dcterms:created xsi:type="dcterms:W3CDTF">2022-03-01T08:21:00Z</dcterms:created>
  <dcterms:modified xsi:type="dcterms:W3CDTF">2023-07-25T12:23:00Z</dcterms:modified>
</cp:coreProperties>
</file>