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C77D0" w14:textId="77777777" w:rsidR="00065599" w:rsidRDefault="00065599" w:rsidP="00065599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</w:rPr>
      </w:pPr>
    </w:p>
    <w:p w14:paraId="736D3B4E" w14:textId="77777777" w:rsidR="00065599" w:rsidRDefault="00065599" w:rsidP="00065599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</w:rPr>
      </w:pPr>
    </w:p>
    <w:p w14:paraId="408909E2" w14:textId="77777777" w:rsidR="00065599" w:rsidRDefault="00065599" w:rsidP="00065599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</w:rPr>
      </w:pPr>
    </w:p>
    <w:p w14:paraId="644D0854" w14:textId="77777777" w:rsidR="00065599" w:rsidRDefault="00065599" w:rsidP="00065599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</w:rPr>
      </w:pPr>
    </w:p>
    <w:p w14:paraId="7A456790" w14:textId="77777777" w:rsidR="00065599" w:rsidRDefault="00065599" w:rsidP="00266305">
      <w:pPr>
        <w:suppressAutoHyphens/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bCs/>
          <w:sz w:val="32"/>
        </w:rPr>
      </w:pPr>
    </w:p>
    <w:p w14:paraId="53A2F27A" w14:textId="77777777" w:rsidR="00065599" w:rsidRDefault="00065599" w:rsidP="00065599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</w:rPr>
      </w:pPr>
    </w:p>
    <w:p w14:paraId="2D3D1334" w14:textId="77777777" w:rsidR="00065599" w:rsidRDefault="00065599" w:rsidP="00065599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</w:rPr>
      </w:pPr>
    </w:p>
    <w:p w14:paraId="1B16866A" w14:textId="025189D9" w:rsidR="00065599" w:rsidRPr="00065599" w:rsidRDefault="00266305" w:rsidP="00065599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32"/>
        </w:rPr>
      </w:pPr>
      <w:r w:rsidRPr="00266305">
        <w:rPr>
          <w:rFonts w:ascii="Cambria" w:hAnsi="Cambria" w:cs="Calibri"/>
          <w:b/>
          <w:bCs/>
          <w:sz w:val="32"/>
        </w:rPr>
        <w:t>PROCEDURA TELEMATICA DI GARA AI SENSI DELL’ART. 1 CO. 2 LETT. b) DL 76/2020 CONVERTITO IN L. 120/2020 E S.M.I. PER L’AFFIDAMENTO DELLA FORNITURA DI COMPONENTI PER L’AUMENTO DELLA POTENZA DI CALCOLO (E DELLO SPAZIO DI STORAGE) DEL CLUSTER HPC IN GESTIONE PRESSO IL DIPARTIMENTO DI ENERGIA</w:t>
      </w:r>
      <w:r w:rsidR="00C71736">
        <w:rPr>
          <w:rFonts w:ascii="Cambria" w:hAnsi="Cambria" w:cs="Calibri"/>
          <w:b/>
          <w:bCs/>
          <w:sz w:val="32"/>
        </w:rPr>
        <w:t xml:space="preserve"> (2)</w:t>
      </w:r>
      <w:r w:rsidRPr="00266305">
        <w:rPr>
          <w:rFonts w:ascii="Cambria" w:hAnsi="Cambria" w:cs="Calibri"/>
          <w:b/>
          <w:bCs/>
          <w:sz w:val="32"/>
        </w:rPr>
        <w:t xml:space="preserve"> TRAMITE “RICHIESTA DI OFFERTA” (RDO) NELL’AMBITO DEL MERCATO ELETTRONICO DELLA P.A. (MEPA</w:t>
      </w:r>
      <w:r>
        <w:rPr>
          <w:rFonts w:ascii="Cambria" w:hAnsi="Cambria" w:cs="Calibri"/>
          <w:b/>
          <w:bCs/>
          <w:sz w:val="32"/>
        </w:rPr>
        <w:t xml:space="preserve">) </w:t>
      </w:r>
      <w:r w:rsidR="00065599" w:rsidRPr="00065599">
        <w:rPr>
          <w:rFonts w:ascii="Cambria" w:hAnsi="Cambria" w:cs="Calibri"/>
          <w:b/>
          <w:bCs/>
          <w:sz w:val="32"/>
        </w:rPr>
        <w:t xml:space="preserve">– CIG </w:t>
      </w:r>
      <w:r w:rsidR="00C71736" w:rsidRPr="00C71736">
        <w:rPr>
          <w:rFonts w:ascii="Cambria" w:hAnsi="Cambria" w:cs="Calibri"/>
          <w:b/>
          <w:bCs/>
          <w:sz w:val="32"/>
        </w:rPr>
        <w:t>934367113C</w:t>
      </w:r>
    </w:p>
    <w:p w14:paraId="4A2F3FCA" w14:textId="77777777" w:rsidR="00065599" w:rsidRPr="00065599" w:rsidRDefault="00065599" w:rsidP="00065599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  <w:sz w:val="36"/>
          <w:lang w:eastAsia="zh-CN"/>
        </w:rPr>
      </w:pPr>
    </w:p>
    <w:p w14:paraId="11AEF377" w14:textId="77777777" w:rsidR="00065599" w:rsidRPr="00065599" w:rsidRDefault="00065599" w:rsidP="00065599">
      <w:pPr>
        <w:suppressAutoHyphens/>
        <w:jc w:val="center"/>
        <w:rPr>
          <w:rFonts w:ascii="Cambria" w:hAnsi="Cambria" w:cs="Calibri"/>
          <w:b/>
          <w:color w:val="000000" w:themeColor="text1"/>
          <w:sz w:val="36"/>
          <w:lang w:eastAsia="zh-CN"/>
        </w:rPr>
      </w:pPr>
      <w:r w:rsidRPr="00065599">
        <w:rPr>
          <w:rFonts w:ascii="Cambria" w:hAnsi="Cambria" w:cs="Calibri"/>
          <w:b/>
          <w:color w:val="000000" w:themeColor="text1"/>
          <w:sz w:val="32"/>
          <w:lang w:eastAsia="zh-CN"/>
        </w:rPr>
        <w:t xml:space="preserve">ALLEGATO </w:t>
      </w:r>
      <w:r w:rsidR="00266305">
        <w:rPr>
          <w:rFonts w:ascii="Cambria" w:hAnsi="Cambria" w:cs="Calibri"/>
          <w:b/>
          <w:color w:val="000000" w:themeColor="text1"/>
          <w:sz w:val="32"/>
          <w:lang w:eastAsia="zh-CN"/>
        </w:rPr>
        <w:t>A_</w:t>
      </w:r>
      <w:r w:rsidRPr="00065599">
        <w:rPr>
          <w:rFonts w:ascii="Cambria" w:hAnsi="Cambria" w:cs="Calibri"/>
          <w:b/>
          <w:color w:val="000000" w:themeColor="text1"/>
          <w:sz w:val="32"/>
          <w:lang w:eastAsia="zh-CN"/>
        </w:rPr>
        <w:t>REQUISITI MINIMI INDEROGABILI</w:t>
      </w:r>
    </w:p>
    <w:p w14:paraId="7FBECFDA" w14:textId="77777777" w:rsidR="00065599" w:rsidRDefault="00065599" w:rsidP="00065599">
      <w:r>
        <w:br w:type="page"/>
      </w:r>
    </w:p>
    <w:tbl>
      <w:tblPr>
        <w:tblW w:w="12902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3356"/>
        <w:gridCol w:w="3266"/>
        <w:gridCol w:w="1564"/>
        <w:gridCol w:w="1572"/>
        <w:gridCol w:w="1572"/>
        <w:gridCol w:w="1572"/>
      </w:tblGrid>
      <w:tr w:rsidR="00065599" w:rsidRPr="005752DE" w14:paraId="070F6336" w14:textId="77777777" w:rsidTr="00065599">
        <w:trPr>
          <w:jc w:val="center"/>
        </w:trPr>
        <w:tc>
          <w:tcPr>
            <w:tcW w:w="9758" w:type="dxa"/>
            <w:gridSpan w:val="4"/>
            <w:shd w:val="clear" w:color="auto" w:fill="auto"/>
            <w:vAlign w:val="center"/>
          </w:tcPr>
          <w:p w14:paraId="5638E42B" w14:textId="77777777" w:rsidR="00065599" w:rsidRPr="00065599" w:rsidRDefault="00065599" w:rsidP="0006559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  <w:bookmarkStart w:id="0" w:name="_GoBack" w:colFirst="0" w:colLast="0"/>
            <w:r w:rsidRPr="00065599">
              <w:rPr>
                <w:rFonts w:ascii="Cambria" w:hAnsi="Cambria"/>
                <w:b/>
                <w:sz w:val="22"/>
                <w:szCs w:val="16"/>
              </w:rPr>
              <w:lastRenderedPageBreak/>
              <w:t>CARATTERISTICA MINIMA RICHIESTA</w:t>
            </w:r>
          </w:p>
        </w:tc>
        <w:tc>
          <w:tcPr>
            <w:tcW w:w="3144" w:type="dxa"/>
            <w:gridSpan w:val="2"/>
            <w:shd w:val="clear" w:color="auto" w:fill="E2EFD9" w:themeFill="accent6" w:themeFillTint="33"/>
          </w:tcPr>
          <w:p w14:paraId="5F9616C4" w14:textId="77777777" w:rsidR="00065599" w:rsidRPr="00266305" w:rsidRDefault="00065599" w:rsidP="00266305">
            <w:pPr>
              <w:jc w:val="center"/>
              <w:rPr>
                <w:rFonts w:ascii="Cambria" w:hAnsi="Cambria"/>
                <w:b/>
                <w:sz w:val="20"/>
                <w:szCs w:val="16"/>
              </w:rPr>
            </w:pPr>
            <w:r w:rsidRPr="00266305">
              <w:rPr>
                <w:rFonts w:ascii="Cambria" w:hAnsi="Cambria"/>
                <w:b/>
                <w:sz w:val="20"/>
                <w:szCs w:val="16"/>
              </w:rPr>
              <w:t>CARATTERISTICHE DELL’ATTREZZATURA OFFERTA</w:t>
            </w:r>
          </w:p>
          <w:p w14:paraId="1BF4528B" w14:textId="303BF295" w:rsidR="00065599" w:rsidRPr="00065599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065599">
              <w:rPr>
                <w:rFonts w:ascii="Cambria" w:hAnsi="Cambria"/>
                <w:sz w:val="16"/>
                <w:szCs w:val="16"/>
              </w:rPr>
              <w:t xml:space="preserve">Indicare, nella colonna </w:t>
            </w:r>
            <w:r w:rsidR="00077A21" w:rsidRPr="00065599">
              <w:rPr>
                <w:rFonts w:ascii="Cambria" w:hAnsi="Cambria"/>
                <w:sz w:val="16"/>
                <w:szCs w:val="16"/>
              </w:rPr>
              <w:t>evidenziata</w:t>
            </w:r>
            <w:r w:rsidRPr="00065599">
              <w:rPr>
                <w:rFonts w:ascii="Cambria" w:hAnsi="Cambria"/>
                <w:sz w:val="16"/>
                <w:szCs w:val="16"/>
              </w:rPr>
              <w:t xml:space="preserve">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065599" w:rsidRPr="005752DE" w14:paraId="496AE13B" w14:textId="77777777" w:rsidTr="00065599">
        <w:trPr>
          <w:trHeight w:val="737"/>
          <w:jc w:val="center"/>
        </w:trPr>
        <w:tc>
          <w:tcPr>
            <w:tcW w:w="12902" w:type="dxa"/>
            <w:gridSpan w:val="6"/>
            <w:shd w:val="clear" w:color="auto" w:fill="D0CECE" w:themeFill="background2" w:themeFillShade="E6"/>
            <w:vAlign w:val="center"/>
          </w:tcPr>
          <w:p w14:paraId="745DB162" w14:textId="77777777" w:rsidR="00065599" w:rsidRPr="005752DE" w:rsidRDefault="00065599" w:rsidP="00065599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065599">
              <w:rPr>
                <w:rFonts w:ascii="Cambria" w:hAnsi="Cambria"/>
                <w:b/>
                <w:sz w:val="22"/>
                <w:szCs w:val="16"/>
              </w:rPr>
              <w:t>CONFIGURAZIONE HARDWARE: REQUISITI MINIMI E SERVIZI DI MANUTENZIONE NODI DI CALCOLO</w:t>
            </w:r>
          </w:p>
        </w:tc>
      </w:tr>
      <w:tr w:rsidR="00065599" w:rsidRPr="005752DE" w14:paraId="5D46A8E8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244F6C2D" w14:textId="77777777" w:rsidR="00065599" w:rsidRPr="005752DE" w:rsidRDefault="00065599" w:rsidP="00065599">
            <w:pPr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5752DE">
              <w:rPr>
                <w:rFonts w:ascii="Cambria" w:hAnsi="Cambria"/>
                <w:b/>
                <w:sz w:val="16"/>
                <w:szCs w:val="16"/>
              </w:rPr>
              <w:t>Funzionalità</w:t>
            </w:r>
          </w:p>
        </w:tc>
        <w:tc>
          <w:tcPr>
            <w:tcW w:w="3266" w:type="dxa"/>
            <w:shd w:val="clear" w:color="auto" w:fill="auto"/>
          </w:tcPr>
          <w:p w14:paraId="15F5C8BA" w14:textId="77777777" w:rsidR="00065599" w:rsidRPr="005752DE" w:rsidRDefault="00065599" w:rsidP="00065599">
            <w:pPr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5752DE">
              <w:rPr>
                <w:rFonts w:ascii="Cambria" w:hAnsi="Cambria"/>
                <w:b/>
                <w:sz w:val="16"/>
                <w:szCs w:val="16"/>
              </w:rPr>
              <w:t>Specifiche tecniche</w:t>
            </w:r>
          </w:p>
        </w:tc>
        <w:tc>
          <w:tcPr>
            <w:tcW w:w="1564" w:type="dxa"/>
            <w:shd w:val="clear" w:color="auto" w:fill="auto"/>
          </w:tcPr>
          <w:p w14:paraId="11223AE6" w14:textId="77777777" w:rsidR="00065599" w:rsidRPr="005752DE" w:rsidRDefault="00065599" w:rsidP="00065599">
            <w:pPr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5752DE">
              <w:rPr>
                <w:rFonts w:ascii="Cambria" w:hAnsi="Cambria"/>
                <w:b/>
                <w:sz w:val="16"/>
                <w:szCs w:val="16"/>
              </w:rPr>
              <w:t>Tipologia A</w:t>
            </w:r>
          </w:p>
        </w:tc>
        <w:tc>
          <w:tcPr>
            <w:tcW w:w="1572" w:type="dxa"/>
            <w:shd w:val="clear" w:color="auto" w:fill="auto"/>
          </w:tcPr>
          <w:p w14:paraId="693A4D4A" w14:textId="77777777" w:rsidR="00065599" w:rsidRPr="005752DE" w:rsidRDefault="00065599" w:rsidP="00065599">
            <w:pPr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5752DE">
              <w:rPr>
                <w:rFonts w:ascii="Cambria" w:hAnsi="Cambria"/>
                <w:b/>
                <w:sz w:val="16"/>
                <w:szCs w:val="16"/>
              </w:rPr>
              <w:t>Tipologia B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7CB3F183" w14:textId="77777777" w:rsidR="00065599" w:rsidRPr="005752DE" w:rsidRDefault="00065599" w:rsidP="00065599">
            <w:pPr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5752DE">
              <w:rPr>
                <w:rFonts w:ascii="Cambria" w:hAnsi="Cambria"/>
                <w:b/>
                <w:sz w:val="16"/>
                <w:szCs w:val="16"/>
              </w:rPr>
              <w:t>Tipologia A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1E45226E" w14:textId="77777777" w:rsidR="00065599" w:rsidRPr="005752DE" w:rsidRDefault="00065599" w:rsidP="00065599">
            <w:pPr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5752DE">
              <w:rPr>
                <w:rFonts w:ascii="Cambria" w:hAnsi="Cambria"/>
                <w:b/>
                <w:sz w:val="16"/>
                <w:szCs w:val="16"/>
              </w:rPr>
              <w:t>Tipologia B</w:t>
            </w:r>
          </w:p>
        </w:tc>
      </w:tr>
      <w:tr w:rsidR="00065599" w:rsidRPr="005752DE" w14:paraId="197E6E8A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7ACAA90A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Tipo Server</w:t>
            </w:r>
          </w:p>
        </w:tc>
        <w:tc>
          <w:tcPr>
            <w:tcW w:w="3266" w:type="dxa"/>
            <w:shd w:val="clear" w:color="auto" w:fill="auto"/>
          </w:tcPr>
          <w:p w14:paraId="4BC3DFE4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Nodo di calcolo in grado di ospitare fino a 2 processori per un totale di 128core  </w:t>
            </w:r>
          </w:p>
        </w:tc>
        <w:tc>
          <w:tcPr>
            <w:tcW w:w="1564" w:type="dxa"/>
            <w:shd w:val="clear" w:color="auto" w:fill="auto"/>
          </w:tcPr>
          <w:p w14:paraId="34710007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Prestazionale IB SP</w:t>
            </w:r>
          </w:p>
        </w:tc>
        <w:tc>
          <w:tcPr>
            <w:tcW w:w="1572" w:type="dxa"/>
            <w:shd w:val="clear" w:color="auto" w:fill="auto"/>
          </w:tcPr>
          <w:p w14:paraId="6E1AC9FB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Prestazionale IB DP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14C3A04A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2FE90556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</w:tr>
      <w:tr w:rsidR="00065599" w:rsidRPr="005752DE" w14:paraId="75E2EF80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226363C0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Architettura CPU</w:t>
            </w:r>
          </w:p>
        </w:tc>
        <w:tc>
          <w:tcPr>
            <w:tcW w:w="3266" w:type="dxa"/>
            <w:shd w:val="clear" w:color="auto" w:fill="auto"/>
          </w:tcPr>
          <w:p w14:paraId="59F67864" w14:textId="06D60551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X86_64 da 32 core/64T, 2600 MHz (turbo escluso), L3 Cache 128MB, massima velocità della memoria 3200 Mhz, es.: AMD EPYC 7513 2.6GHz, 32C/64T</w:t>
            </w:r>
          </w:p>
        </w:tc>
        <w:tc>
          <w:tcPr>
            <w:tcW w:w="1564" w:type="dxa"/>
            <w:shd w:val="clear" w:color="auto" w:fill="auto"/>
          </w:tcPr>
          <w:p w14:paraId="5F7584A5" w14:textId="77777777" w:rsidR="00065599" w:rsidRPr="005752DE" w:rsidRDefault="00065599" w:rsidP="00065599">
            <w:pPr>
              <w:spacing w:line="259" w:lineRule="auto"/>
              <w:jc w:val="both"/>
              <w:rPr>
                <w:rFonts w:ascii="Cambria" w:hAnsi="Cambria"/>
                <w:sz w:val="16"/>
                <w:szCs w:val="16"/>
                <w:lang w:val="en-IE"/>
              </w:rPr>
            </w:pPr>
            <w:r w:rsidRPr="005752DE">
              <w:rPr>
                <w:rFonts w:ascii="Cambria" w:hAnsi="Cambria"/>
                <w:sz w:val="16"/>
                <w:szCs w:val="16"/>
                <w:lang w:val="en-IE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3A6E927F" w14:textId="77777777" w:rsidR="00065599" w:rsidRPr="005752DE" w:rsidRDefault="00065599" w:rsidP="00065599">
            <w:pPr>
              <w:spacing w:line="259" w:lineRule="auto"/>
              <w:jc w:val="both"/>
              <w:rPr>
                <w:rFonts w:ascii="Cambria" w:hAnsi="Cambria"/>
                <w:lang w:val="en-IE"/>
              </w:rPr>
            </w:pPr>
            <w:r w:rsidRPr="005752DE">
              <w:rPr>
                <w:rFonts w:ascii="Cambria" w:hAnsi="Cambria"/>
                <w:sz w:val="16"/>
                <w:szCs w:val="16"/>
                <w:lang w:val="en-IE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3EF6E2D6" w14:textId="77777777" w:rsidR="00065599" w:rsidRPr="005752DE" w:rsidRDefault="00065599" w:rsidP="00065599">
            <w:pPr>
              <w:spacing w:line="259" w:lineRule="auto"/>
              <w:jc w:val="both"/>
              <w:rPr>
                <w:rFonts w:ascii="Cambria" w:hAnsi="Cambria"/>
                <w:sz w:val="16"/>
                <w:szCs w:val="16"/>
                <w:lang w:val="en-IE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2068F746" w14:textId="77777777" w:rsidR="00065599" w:rsidRPr="005752DE" w:rsidRDefault="00065599" w:rsidP="00065599">
            <w:pPr>
              <w:spacing w:line="259" w:lineRule="auto"/>
              <w:jc w:val="both"/>
              <w:rPr>
                <w:rFonts w:ascii="Cambria" w:hAnsi="Cambria"/>
                <w:sz w:val="16"/>
                <w:szCs w:val="16"/>
                <w:lang w:val="en-IE"/>
              </w:rPr>
            </w:pPr>
          </w:p>
        </w:tc>
      </w:tr>
      <w:tr w:rsidR="00065599" w:rsidRPr="005752DE" w14:paraId="4C1711A2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1E0AEEBF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Numero CPU </w:t>
            </w:r>
          </w:p>
        </w:tc>
        <w:tc>
          <w:tcPr>
            <w:tcW w:w="3266" w:type="dxa"/>
            <w:shd w:val="clear" w:color="auto" w:fill="auto"/>
          </w:tcPr>
          <w:p w14:paraId="2475E8EF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Il server dovrà essere configurato con la quantità di CPU fisiche indicata</w:t>
            </w:r>
          </w:p>
        </w:tc>
        <w:tc>
          <w:tcPr>
            <w:tcW w:w="1564" w:type="dxa"/>
            <w:shd w:val="clear" w:color="auto" w:fill="auto"/>
          </w:tcPr>
          <w:p w14:paraId="5A75E09B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1572" w:type="dxa"/>
            <w:shd w:val="clear" w:color="auto" w:fill="auto"/>
          </w:tcPr>
          <w:p w14:paraId="77367498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7F23E6B2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1F56480E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</w:tr>
      <w:tr w:rsidR="00065599" w:rsidRPr="005752DE" w14:paraId="09B05C8C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2C0C57CF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Memoria (installabile)</w:t>
            </w:r>
          </w:p>
        </w:tc>
        <w:tc>
          <w:tcPr>
            <w:tcW w:w="3266" w:type="dxa"/>
            <w:shd w:val="clear" w:color="auto" w:fill="auto"/>
          </w:tcPr>
          <w:p w14:paraId="70915F83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Il server dovrà essere configurabile con la quantità di memoria RAM fisica (installabile) indicata.</w:t>
            </w:r>
          </w:p>
          <w:p w14:paraId="140A1117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4" w:type="dxa"/>
            <w:shd w:val="clear" w:color="auto" w:fill="auto"/>
          </w:tcPr>
          <w:p w14:paraId="613E536E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Fino a 32 DIMM DDR4 in totale, supporto RDIMM/LRDIMM fino a 3200MT/s DDR4 registrate ECC</w:t>
            </w:r>
          </w:p>
        </w:tc>
        <w:tc>
          <w:tcPr>
            <w:tcW w:w="1572" w:type="dxa"/>
            <w:shd w:val="clear" w:color="auto" w:fill="auto"/>
          </w:tcPr>
          <w:p w14:paraId="2F138604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Fino a 32 DIMM DDR4 in totale, supporto RDIMM/LRDIMM fino a 3200MT/s DDR4 registrate ECC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1B09263D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490CC362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</w:tr>
      <w:tr w:rsidR="00065599" w:rsidRPr="005752DE" w14:paraId="0316D281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4DDB2772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Memoria Installata</w:t>
            </w:r>
          </w:p>
        </w:tc>
        <w:tc>
          <w:tcPr>
            <w:tcW w:w="3266" w:type="dxa"/>
            <w:shd w:val="clear" w:color="auto" w:fill="auto"/>
          </w:tcPr>
          <w:p w14:paraId="6B853048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Il server dovrà essere configurato con la quantità di RAM installata indicata. Tale memoria, di tipo ECC DDR4 3200MT/s </w:t>
            </w:r>
          </w:p>
          <w:p w14:paraId="6F9A1B43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dovrà essere in configurazione bilanciata al fine di favorire il throughput dei job computazionali </w:t>
            </w:r>
          </w:p>
          <w:p w14:paraId="0614C2C5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(possibilità di espansione per ulteriori 256GB)</w:t>
            </w:r>
          </w:p>
        </w:tc>
        <w:tc>
          <w:tcPr>
            <w:tcW w:w="1564" w:type="dxa"/>
            <w:shd w:val="clear" w:color="auto" w:fill="auto"/>
          </w:tcPr>
          <w:p w14:paraId="6580A28E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256GB</w:t>
            </w:r>
          </w:p>
        </w:tc>
        <w:tc>
          <w:tcPr>
            <w:tcW w:w="1572" w:type="dxa"/>
            <w:shd w:val="clear" w:color="auto" w:fill="auto"/>
          </w:tcPr>
          <w:p w14:paraId="12E91B1F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256GB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13C23F91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1E0D6635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</w:tr>
      <w:tr w:rsidR="00065599" w:rsidRPr="005752DE" w14:paraId="314D506C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1D964AC6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Storage processor (SP)</w:t>
            </w:r>
          </w:p>
        </w:tc>
        <w:tc>
          <w:tcPr>
            <w:tcW w:w="3266" w:type="dxa"/>
            <w:shd w:val="clear" w:color="auto" w:fill="auto"/>
          </w:tcPr>
          <w:p w14:paraId="29BF5258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Controller interni: RAID Controller 0,1.</w:t>
            </w:r>
          </w:p>
        </w:tc>
        <w:tc>
          <w:tcPr>
            <w:tcW w:w="1564" w:type="dxa"/>
            <w:shd w:val="clear" w:color="auto" w:fill="auto"/>
          </w:tcPr>
          <w:p w14:paraId="2BC6BE3B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027CA31F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028A8CE5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184BDC40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5BB5435E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7E1314E5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Bay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di dischi</w:t>
            </w:r>
          </w:p>
          <w:p w14:paraId="3D157EC4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266" w:type="dxa"/>
            <w:shd w:val="clear" w:color="auto" w:fill="auto"/>
          </w:tcPr>
          <w:p w14:paraId="7CACFC7E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Lato anteriore: fino a 10 unità hot-swap da 2.5” SAS/SATA (HDD/SSD) incl 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max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di 4 Universal Drives (NVME) </w:t>
            </w:r>
          </w:p>
        </w:tc>
        <w:tc>
          <w:tcPr>
            <w:tcW w:w="1564" w:type="dxa"/>
            <w:shd w:val="clear" w:color="auto" w:fill="auto"/>
          </w:tcPr>
          <w:p w14:paraId="135F5F11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4CCEDB3A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36BD27EC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11B15923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4E27B059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53E65B11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Unità storage </w:t>
            </w:r>
          </w:p>
        </w:tc>
        <w:tc>
          <w:tcPr>
            <w:tcW w:w="3266" w:type="dxa"/>
            <w:shd w:val="clear" w:color="auto" w:fill="auto"/>
          </w:tcPr>
          <w:p w14:paraId="474086EC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  <w:lang w:val="en-US"/>
              </w:rPr>
            </w:pPr>
            <w:r w:rsidRPr="005752DE">
              <w:rPr>
                <w:rFonts w:ascii="Cambria" w:hAnsi="Cambria"/>
                <w:sz w:val="16"/>
                <w:szCs w:val="16"/>
                <w:lang w:val="en-US"/>
              </w:rPr>
              <w:t>SSD 480GB Mix Use 3 DWPD</w:t>
            </w:r>
          </w:p>
        </w:tc>
        <w:tc>
          <w:tcPr>
            <w:tcW w:w="1564" w:type="dxa"/>
            <w:shd w:val="clear" w:color="auto" w:fill="auto"/>
          </w:tcPr>
          <w:p w14:paraId="1184ED38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338D3CE2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4C658524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6DB18427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208034E5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63A51AA0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266" w:type="dxa"/>
            <w:shd w:val="clear" w:color="auto" w:fill="auto"/>
          </w:tcPr>
          <w:p w14:paraId="4FFB533A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  <w:lang w:val="en-US"/>
              </w:rPr>
            </w:pPr>
            <w:r w:rsidRPr="005752DE">
              <w:rPr>
                <w:rFonts w:ascii="Cambria" w:hAnsi="Cambria"/>
                <w:sz w:val="16"/>
                <w:szCs w:val="16"/>
                <w:lang w:val="en-US"/>
              </w:rPr>
              <w:t>1 SSD/NVME 1600GB GEN4 Mix Use</w:t>
            </w:r>
          </w:p>
        </w:tc>
        <w:tc>
          <w:tcPr>
            <w:tcW w:w="1564" w:type="dxa"/>
            <w:shd w:val="clear" w:color="auto" w:fill="auto"/>
          </w:tcPr>
          <w:p w14:paraId="77B4AF82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69BE0D74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3B170577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7D397666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1F16C42F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717A092F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Fattore di forma</w:t>
            </w:r>
          </w:p>
        </w:tc>
        <w:tc>
          <w:tcPr>
            <w:tcW w:w="3266" w:type="dxa"/>
            <w:shd w:val="clear" w:color="auto" w:fill="auto"/>
          </w:tcPr>
          <w:p w14:paraId="71BF41AA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Rack 19” (1U)</w:t>
            </w:r>
          </w:p>
        </w:tc>
        <w:tc>
          <w:tcPr>
            <w:tcW w:w="1564" w:type="dxa"/>
            <w:shd w:val="clear" w:color="auto" w:fill="auto"/>
          </w:tcPr>
          <w:p w14:paraId="5146FEAF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2BA55704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01080D52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2CF3C69A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65C38AE7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477113EE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Integrazioni</w:t>
            </w:r>
          </w:p>
        </w:tc>
        <w:tc>
          <w:tcPr>
            <w:tcW w:w="3266" w:type="dxa"/>
            <w:shd w:val="clear" w:color="auto" w:fill="auto"/>
          </w:tcPr>
          <w:p w14:paraId="58167347" w14:textId="77777777" w:rsidR="00065599" w:rsidRPr="005752DE" w:rsidRDefault="00065599" w:rsidP="00065599">
            <w:pPr>
              <w:jc w:val="both"/>
              <w:rPr>
                <w:rFonts w:ascii="Cambria" w:hAnsi="Cambria"/>
                <w:color w:val="FF0000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Integrazioni 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OpenManage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Enterprise</w:t>
            </w:r>
          </w:p>
        </w:tc>
        <w:tc>
          <w:tcPr>
            <w:tcW w:w="1564" w:type="dxa"/>
            <w:shd w:val="clear" w:color="auto" w:fill="auto"/>
          </w:tcPr>
          <w:p w14:paraId="70515CD5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7C6342BF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0704A4D5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58343434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5B72B084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19B49BDC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Connessioni</w:t>
            </w:r>
          </w:p>
        </w:tc>
        <w:tc>
          <w:tcPr>
            <w:tcW w:w="3266" w:type="dxa"/>
            <w:shd w:val="clear" w:color="auto" w:fill="auto"/>
          </w:tcPr>
          <w:p w14:paraId="40CBF587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Nagios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Core</w:t>
            </w:r>
          </w:p>
        </w:tc>
        <w:tc>
          <w:tcPr>
            <w:tcW w:w="1564" w:type="dxa"/>
            <w:shd w:val="clear" w:color="auto" w:fill="auto"/>
          </w:tcPr>
          <w:p w14:paraId="6B971521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1E129212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497A726A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798416FC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4BB089C7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59EA923E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Porte I/O</w:t>
            </w:r>
          </w:p>
        </w:tc>
        <w:tc>
          <w:tcPr>
            <w:tcW w:w="3266" w:type="dxa"/>
            <w:shd w:val="clear" w:color="auto" w:fill="auto"/>
          </w:tcPr>
          <w:p w14:paraId="16F929A5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1X 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Mellanox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InfiniBand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HDR 200Gbs</w:t>
            </w:r>
          </w:p>
        </w:tc>
        <w:tc>
          <w:tcPr>
            <w:tcW w:w="1564" w:type="dxa"/>
            <w:shd w:val="clear" w:color="auto" w:fill="auto"/>
          </w:tcPr>
          <w:p w14:paraId="6FBF5F9A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  <w:r w:rsidRPr="005752DE" w:rsidDel="00576AA3">
              <w:rPr>
                <w:rFonts w:ascii="Cambria" w:hAnsi="Cambria"/>
              </w:rPr>
              <w:t xml:space="preserve"> </w:t>
            </w:r>
          </w:p>
        </w:tc>
        <w:tc>
          <w:tcPr>
            <w:tcW w:w="1572" w:type="dxa"/>
            <w:shd w:val="clear" w:color="auto" w:fill="auto"/>
          </w:tcPr>
          <w:p w14:paraId="1BC38DC9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 xml:space="preserve"> 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38230ECB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33FB531F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748A7E9A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4EA27600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266" w:type="dxa"/>
            <w:shd w:val="clear" w:color="auto" w:fill="auto"/>
          </w:tcPr>
          <w:p w14:paraId="4995CE9E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1X Dual Port 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Mellanox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InfiniBand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HDR 200Gbs</w:t>
            </w:r>
          </w:p>
        </w:tc>
        <w:tc>
          <w:tcPr>
            <w:tcW w:w="1564" w:type="dxa"/>
            <w:shd w:val="clear" w:color="auto" w:fill="auto"/>
          </w:tcPr>
          <w:p w14:paraId="13245D77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auto"/>
          </w:tcPr>
          <w:p w14:paraId="75225E71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428E0871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5DE6A666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74C61791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0027DB33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266" w:type="dxa"/>
            <w:shd w:val="clear" w:color="auto" w:fill="auto"/>
          </w:tcPr>
          <w:p w14:paraId="1410F3BE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 xml:space="preserve">1X 1Gb 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BaseT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>. Porta LAN dedicata per il management</w:t>
            </w:r>
          </w:p>
          <w:p w14:paraId="69638D0D" w14:textId="77777777" w:rsidR="00065599" w:rsidRPr="005752DE" w:rsidRDefault="00065599" w:rsidP="00065599">
            <w:pPr>
              <w:jc w:val="both"/>
              <w:rPr>
                <w:rFonts w:ascii="Cambria" w:hAnsi="Cambria"/>
                <w:lang w:val="en-US"/>
              </w:rPr>
            </w:pPr>
            <w:r w:rsidRPr="005752DE">
              <w:rPr>
                <w:rFonts w:ascii="Cambria" w:hAnsi="Cambria"/>
                <w:sz w:val="16"/>
                <w:szCs w:val="16"/>
                <w:lang w:val="en-US"/>
              </w:rPr>
              <w:t>1X Dual Port 10/25GbE SFP28</w:t>
            </w:r>
          </w:p>
          <w:p w14:paraId="2B270971" w14:textId="77777777" w:rsidR="00065599" w:rsidRPr="005752DE" w:rsidRDefault="00065599" w:rsidP="00065599">
            <w:pPr>
              <w:jc w:val="both"/>
              <w:rPr>
                <w:rFonts w:ascii="Cambria" w:hAnsi="Cambria"/>
                <w:lang w:val="en-US"/>
              </w:rPr>
            </w:pPr>
            <w:r w:rsidRPr="005752DE">
              <w:rPr>
                <w:rFonts w:ascii="Cambria" w:hAnsi="Cambria"/>
                <w:sz w:val="16"/>
                <w:szCs w:val="16"/>
                <w:lang w:val="en-US"/>
              </w:rPr>
              <w:t>1X Quad Port 1GbE BASE-T</w:t>
            </w:r>
          </w:p>
        </w:tc>
        <w:tc>
          <w:tcPr>
            <w:tcW w:w="1564" w:type="dxa"/>
            <w:shd w:val="clear" w:color="auto" w:fill="auto"/>
          </w:tcPr>
          <w:p w14:paraId="13A1F850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47BFDABF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2637A861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404366A8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74F9C116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6E82FC06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Sistemi operativi supportati</w:t>
            </w:r>
          </w:p>
        </w:tc>
        <w:tc>
          <w:tcPr>
            <w:tcW w:w="3266" w:type="dxa"/>
            <w:shd w:val="clear" w:color="auto" w:fill="auto"/>
          </w:tcPr>
          <w:p w14:paraId="320B772E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  <w:lang w:val="en-IE"/>
              </w:rPr>
            </w:pPr>
            <w:r w:rsidRPr="005752DE">
              <w:rPr>
                <w:rFonts w:ascii="Cambria" w:hAnsi="Cambria"/>
                <w:sz w:val="16"/>
                <w:szCs w:val="16"/>
                <w:lang w:val="en-IE"/>
              </w:rPr>
              <w:t>Red Hat® Enterprise Linux 7</w:t>
            </w:r>
          </w:p>
          <w:p w14:paraId="7CE7E311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  <w:lang w:val="en-IE"/>
              </w:rPr>
            </w:pPr>
            <w:r w:rsidRPr="005752DE">
              <w:rPr>
                <w:rFonts w:ascii="Cambria" w:hAnsi="Cambria"/>
                <w:sz w:val="16"/>
                <w:szCs w:val="16"/>
                <w:lang w:val="en-IE"/>
              </w:rPr>
              <w:t xml:space="preserve">VMware® 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  <w:lang w:val="en-IE"/>
              </w:rPr>
              <w:t>ESXi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  <w:lang w:val="en-IE"/>
              </w:rPr>
              <w:t xml:space="preserve"> 6.7, 7 </w:t>
            </w:r>
          </w:p>
        </w:tc>
        <w:tc>
          <w:tcPr>
            <w:tcW w:w="1564" w:type="dxa"/>
            <w:shd w:val="clear" w:color="auto" w:fill="auto"/>
          </w:tcPr>
          <w:p w14:paraId="66FF0EB1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61E37E88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6F7A0643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374F36E5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2D3FF31B" w14:textId="77777777" w:rsidTr="00065599">
        <w:trPr>
          <w:jc w:val="center"/>
        </w:trPr>
        <w:tc>
          <w:tcPr>
            <w:tcW w:w="3356" w:type="dxa"/>
            <w:shd w:val="clear" w:color="auto" w:fill="FFFFFF" w:themeFill="background1"/>
          </w:tcPr>
          <w:p w14:paraId="2C71574A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Alimentazione</w:t>
            </w:r>
          </w:p>
        </w:tc>
        <w:tc>
          <w:tcPr>
            <w:tcW w:w="3266" w:type="dxa"/>
            <w:shd w:val="clear" w:color="auto" w:fill="FFFFFF" w:themeFill="background1"/>
          </w:tcPr>
          <w:p w14:paraId="132E73BF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Doppia alimentazione 1+1 min 1400W/CAD</w:t>
            </w:r>
          </w:p>
        </w:tc>
        <w:tc>
          <w:tcPr>
            <w:tcW w:w="1564" w:type="dxa"/>
            <w:shd w:val="clear" w:color="auto" w:fill="FFFFFF" w:themeFill="background1"/>
          </w:tcPr>
          <w:p w14:paraId="781B3343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FFFFFF" w:themeFill="background1"/>
          </w:tcPr>
          <w:p w14:paraId="468A791E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49553D67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66217986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3F1E0A31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095E1C18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  <w:highlight w:val="yellow"/>
                <w:lang w:val="en-US"/>
              </w:rPr>
            </w:pPr>
            <w:r w:rsidRPr="005752DE">
              <w:rPr>
                <w:rFonts w:ascii="Cambria" w:hAnsi="Cambria"/>
                <w:sz w:val="16"/>
                <w:szCs w:val="16"/>
                <w:lang w:val="en-US"/>
              </w:rPr>
              <w:t>BMC (board management controller) 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  <w:lang w:val="en-US"/>
              </w:rPr>
              <w:t>dedicata</w:t>
            </w:r>
            <w:proofErr w:type="spellEnd"/>
          </w:p>
        </w:tc>
        <w:tc>
          <w:tcPr>
            <w:tcW w:w="3266" w:type="dxa"/>
            <w:shd w:val="clear" w:color="auto" w:fill="auto"/>
          </w:tcPr>
          <w:p w14:paraId="7A686A8E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Compatibile IPMI versione 2.0 o superiore</w:t>
            </w:r>
          </w:p>
          <w:p w14:paraId="12CCBF60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e 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Redfish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(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RESTful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> API).</w:t>
            </w:r>
          </w:p>
          <w:p w14:paraId="53D68E08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Accesso criptato alla console</w:t>
            </w:r>
          </w:p>
          <w:p w14:paraId="69139FAC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seriale attraverso collegamento SSH.</w:t>
            </w:r>
          </w:p>
          <w:p w14:paraId="30E1705D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Virtual console &amp; 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vMedia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 xml:space="preserve"> (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es.KVM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>).</w:t>
            </w:r>
          </w:p>
          <w:p w14:paraId="53A06252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Funzione di </w:t>
            </w:r>
            <w:proofErr w:type="spellStart"/>
            <w:r w:rsidRPr="005752DE">
              <w:rPr>
                <w:rFonts w:ascii="Cambria" w:hAnsi="Cambria"/>
                <w:sz w:val="16"/>
                <w:szCs w:val="16"/>
              </w:rPr>
              <w:t>rollback</w:t>
            </w:r>
            <w:proofErr w:type="spellEnd"/>
            <w:r w:rsidRPr="005752DE">
              <w:rPr>
                <w:rFonts w:ascii="Cambria" w:hAnsi="Cambria"/>
                <w:sz w:val="16"/>
                <w:szCs w:val="16"/>
              </w:rPr>
              <w:t> Firmware.</w:t>
            </w:r>
          </w:p>
          <w:p w14:paraId="4AE8C904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Cancellazione sicura di tutti i dispositivi storage interni al server.</w:t>
            </w:r>
          </w:p>
          <w:p w14:paraId="5F748780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Supporto Active Directory e autenticazione LDAP.</w:t>
            </w:r>
          </w:p>
          <w:p w14:paraId="147F2CAB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  <w:lang w:val="en-IE"/>
              </w:rPr>
            </w:pPr>
            <w:r w:rsidRPr="005752DE">
              <w:rPr>
                <w:rFonts w:ascii="Cambria" w:hAnsi="Cambria"/>
                <w:sz w:val="16"/>
                <w:szCs w:val="16"/>
                <w:lang w:val="en-IE"/>
              </w:rPr>
              <w:t>SNMP v3.</w:t>
            </w:r>
          </w:p>
          <w:p w14:paraId="6DE15690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  <w:highlight w:val="yellow"/>
                <w:lang w:val="en-IE"/>
              </w:rPr>
            </w:pPr>
            <w:r w:rsidRPr="005752DE">
              <w:rPr>
                <w:rFonts w:ascii="Cambria" w:hAnsi="Cambria"/>
                <w:sz w:val="16"/>
                <w:szCs w:val="16"/>
                <w:lang w:val="en-IE"/>
              </w:rPr>
              <w:t>TLS 1.2 communication.</w:t>
            </w:r>
          </w:p>
        </w:tc>
        <w:tc>
          <w:tcPr>
            <w:tcW w:w="1564" w:type="dxa"/>
            <w:shd w:val="clear" w:color="auto" w:fill="auto"/>
          </w:tcPr>
          <w:p w14:paraId="78C2C639" w14:textId="77777777" w:rsidR="00065599" w:rsidRPr="005752DE" w:rsidRDefault="00065599" w:rsidP="00065599">
            <w:pPr>
              <w:jc w:val="both"/>
              <w:rPr>
                <w:rFonts w:ascii="Cambria" w:hAnsi="Cambria"/>
                <w:highlight w:val="yellow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633B78E8" w14:textId="77777777" w:rsidR="00065599" w:rsidRPr="005752DE" w:rsidRDefault="00065599" w:rsidP="00065599">
            <w:pPr>
              <w:jc w:val="both"/>
              <w:rPr>
                <w:rFonts w:ascii="Cambria" w:hAnsi="Cambria"/>
                <w:highlight w:val="yellow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7B9A5463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6AA460AF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tr w:rsidR="00065599" w:rsidRPr="005752DE" w14:paraId="11D36F8A" w14:textId="77777777" w:rsidTr="00065599">
        <w:trPr>
          <w:jc w:val="center"/>
        </w:trPr>
        <w:tc>
          <w:tcPr>
            <w:tcW w:w="3356" w:type="dxa"/>
            <w:shd w:val="clear" w:color="auto" w:fill="auto"/>
          </w:tcPr>
          <w:p w14:paraId="7E79D3DC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Supporto e servizi</w:t>
            </w:r>
          </w:p>
        </w:tc>
        <w:tc>
          <w:tcPr>
            <w:tcW w:w="3266" w:type="dxa"/>
            <w:shd w:val="clear" w:color="auto" w:fill="auto"/>
          </w:tcPr>
          <w:p w14:paraId="22C1ABDD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5 Anni - Next Business Day</w:t>
            </w:r>
          </w:p>
          <w:p w14:paraId="7AEB0A62" w14:textId="77777777" w:rsidR="00065599" w:rsidRPr="005752DE" w:rsidRDefault="00065599" w:rsidP="00065599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5752DE">
              <w:rPr>
                <w:rFonts w:ascii="Cambria" w:hAnsi="Cambria"/>
                <w:sz w:val="16"/>
                <w:szCs w:val="16"/>
              </w:rPr>
              <w:t>Servizio disponibile 8x5. Intervento on site entro il giorno successivo dal completamento della diagnosi telefonica del problema</w:t>
            </w:r>
          </w:p>
        </w:tc>
        <w:tc>
          <w:tcPr>
            <w:tcW w:w="1564" w:type="dxa"/>
            <w:shd w:val="clear" w:color="auto" w:fill="auto"/>
          </w:tcPr>
          <w:p w14:paraId="25FA4E49" w14:textId="77777777" w:rsidR="00065599" w:rsidRPr="005752DE" w:rsidRDefault="00065599" w:rsidP="00065599">
            <w:pPr>
              <w:jc w:val="both"/>
              <w:rPr>
                <w:rFonts w:ascii="Cambria" w:hAnsi="Cambria"/>
                <w:highlight w:val="yellow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auto"/>
          </w:tcPr>
          <w:p w14:paraId="0E9A0397" w14:textId="77777777" w:rsidR="00065599" w:rsidRPr="005752DE" w:rsidRDefault="00065599" w:rsidP="00065599">
            <w:pPr>
              <w:jc w:val="both"/>
              <w:rPr>
                <w:rFonts w:ascii="Cambria" w:hAnsi="Cambria"/>
                <w:highlight w:val="yellow"/>
              </w:rPr>
            </w:pPr>
            <w:r w:rsidRPr="005752DE">
              <w:rPr>
                <w:rFonts w:ascii="Cambria" w:hAnsi="Cambria"/>
              </w:rPr>
              <w:t>x</w:t>
            </w:r>
          </w:p>
        </w:tc>
        <w:tc>
          <w:tcPr>
            <w:tcW w:w="1572" w:type="dxa"/>
            <w:shd w:val="clear" w:color="auto" w:fill="E2EFD9" w:themeFill="accent6" w:themeFillTint="33"/>
          </w:tcPr>
          <w:p w14:paraId="45886CC1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72" w:type="dxa"/>
            <w:shd w:val="clear" w:color="auto" w:fill="E2EFD9" w:themeFill="accent6" w:themeFillTint="33"/>
          </w:tcPr>
          <w:p w14:paraId="1DC10B19" w14:textId="77777777" w:rsidR="00065599" w:rsidRPr="005752DE" w:rsidRDefault="00065599" w:rsidP="00065599">
            <w:pPr>
              <w:jc w:val="both"/>
              <w:rPr>
                <w:rFonts w:ascii="Cambria" w:hAnsi="Cambria"/>
              </w:rPr>
            </w:pPr>
          </w:p>
        </w:tc>
      </w:tr>
      <w:bookmarkEnd w:id="0"/>
    </w:tbl>
    <w:p w14:paraId="776AB01C" w14:textId="77777777" w:rsidR="00065599" w:rsidRDefault="00065599">
      <w:r>
        <w:br w:type="page"/>
      </w:r>
    </w:p>
    <w:tbl>
      <w:tblPr>
        <w:tblW w:w="12902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374"/>
        <w:gridCol w:w="77"/>
        <w:gridCol w:w="6451"/>
      </w:tblGrid>
      <w:tr w:rsidR="00065599" w:rsidRPr="005752DE" w14:paraId="5D76DFB3" w14:textId="77777777" w:rsidTr="00AB6A79">
        <w:trPr>
          <w:jc w:val="center"/>
        </w:trPr>
        <w:tc>
          <w:tcPr>
            <w:tcW w:w="6374" w:type="dxa"/>
            <w:shd w:val="clear" w:color="auto" w:fill="auto"/>
            <w:vAlign w:val="center"/>
          </w:tcPr>
          <w:p w14:paraId="52F31E1A" w14:textId="77777777" w:rsidR="00065599" w:rsidRPr="00065599" w:rsidRDefault="00065599" w:rsidP="008C7BA0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  <w:r w:rsidRPr="00065599">
              <w:rPr>
                <w:rFonts w:ascii="Cambria" w:hAnsi="Cambria"/>
                <w:b/>
                <w:sz w:val="22"/>
                <w:szCs w:val="16"/>
              </w:rPr>
              <w:lastRenderedPageBreak/>
              <w:t>CARATTERISTICA MINIMA RICHIESTA</w:t>
            </w:r>
          </w:p>
        </w:tc>
        <w:tc>
          <w:tcPr>
            <w:tcW w:w="6528" w:type="dxa"/>
            <w:gridSpan w:val="2"/>
            <w:shd w:val="clear" w:color="auto" w:fill="E2EFD9" w:themeFill="accent6" w:themeFillTint="33"/>
          </w:tcPr>
          <w:p w14:paraId="53D6B611" w14:textId="77777777" w:rsidR="00065599" w:rsidRPr="00266305" w:rsidRDefault="00065599" w:rsidP="00266305">
            <w:pPr>
              <w:jc w:val="center"/>
              <w:rPr>
                <w:rFonts w:ascii="Cambria" w:hAnsi="Cambria"/>
                <w:b/>
                <w:sz w:val="20"/>
                <w:szCs w:val="16"/>
              </w:rPr>
            </w:pPr>
            <w:r w:rsidRPr="00266305">
              <w:rPr>
                <w:rFonts w:ascii="Cambria" w:hAnsi="Cambria"/>
                <w:b/>
                <w:sz w:val="20"/>
                <w:szCs w:val="16"/>
              </w:rPr>
              <w:t>CARATTERISTICHE DELL’ATTREZZATURA OFFERTA</w:t>
            </w:r>
          </w:p>
          <w:p w14:paraId="6F139638" w14:textId="72085A0B" w:rsidR="00065599" w:rsidRPr="00065599" w:rsidRDefault="00065599" w:rsidP="008C7BA0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6B6B4D">
              <w:rPr>
                <w:rFonts w:ascii="Cambria" w:hAnsi="Cambria"/>
                <w:sz w:val="18"/>
                <w:szCs w:val="16"/>
              </w:rPr>
              <w:t xml:space="preserve">Indicare, nella colonna </w:t>
            </w:r>
            <w:r w:rsidR="00D8434E" w:rsidRPr="006B6B4D">
              <w:rPr>
                <w:rFonts w:ascii="Cambria" w:hAnsi="Cambria"/>
                <w:sz w:val="18"/>
                <w:szCs w:val="16"/>
              </w:rPr>
              <w:t>evidenziata</w:t>
            </w:r>
            <w:r w:rsidRPr="006B6B4D">
              <w:rPr>
                <w:rFonts w:ascii="Cambria" w:hAnsi="Cambria"/>
                <w:sz w:val="18"/>
                <w:szCs w:val="16"/>
              </w:rPr>
              <w:t xml:space="preserve">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065599" w:rsidRPr="005752DE" w14:paraId="6170F0D2" w14:textId="77777777" w:rsidTr="008C7BA0">
        <w:trPr>
          <w:trHeight w:val="737"/>
          <w:jc w:val="center"/>
        </w:trPr>
        <w:tc>
          <w:tcPr>
            <w:tcW w:w="12902" w:type="dxa"/>
            <w:gridSpan w:val="3"/>
            <w:shd w:val="clear" w:color="auto" w:fill="D0CECE" w:themeFill="background2" w:themeFillShade="E6"/>
            <w:vAlign w:val="center"/>
          </w:tcPr>
          <w:p w14:paraId="3470AB86" w14:textId="77777777" w:rsidR="00065599" w:rsidRPr="005752DE" w:rsidRDefault="00AB6A79" w:rsidP="008C7BA0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B6A79">
              <w:rPr>
                <w:rFonts w:ascii="Cambria" w:hAnsi="Cambria"/>
                <w:b/>
                <w:sz w:val="22"/>
                <w:szCs w:val="16"/>
              </w:rPr>
              <w:t>FORNITURA “</w:t>
            </w:r>
            <w:r w:rsidRPr="00AB6A79">
              <w:rPr>
                <w:rFonts w:ascii="Cambria" w:hAnsi="Cambria"/>
                <w:b/>
                <w:i/>
                <w:sz w:val="22"/>
                <w:szCs w:val="16"/>
              </w:rPr>
              <w:t>STORAGE SAN</w:t>
            </w:r>
            <w:r w:rsidRPr="00AB6A79">
              <w:rPr>
                <w:rFonts w:ascii="Cambria" w:hAnsi="Cambria"/>
                <w:b/>
                <w:sz w:val="22"/>
                <w:szCs w:val="16"/>
              </w:rPr>
              <w:t>”</w:t>
            </w:r>
          </w:p>
        </w:tc>
      </w:tr>
      <w:tr w:rsidR="00AB6A79" w:rsidRPr="005752DE" w14:paraId="0165698B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44D38A85" w14:textId="77777777" w:rsidR="00AB6A79" w:rsidRPr="006B6B4D" w:rsidRDefault="00AB6A79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 xml:space="preserve">capacità lorda complessiva (RAW calcolata moltiplicando la capacità nominale in 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</w:rPr>
              <w:t>GByte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</w:rPr>
              <w:t xml:space="preserve"> dei singoli dischi per il numero di dischi totale contenuti nel sistema, inclusi dischi di hot-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</w:rPr>
              <w:t>spare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</w:rPr>
              <w:t>) non deve essere inferiore a 448TB (300TB utili) e deve inoltre garantire le quantità minime utili di 300TB HDD NL-SAS 7.2K</w:t>
            </w:r>
          </w:p>
        </w:tc>
        <w:tc>
          <w:tcPr>
            <w:tcW w:w="6451" w:type="dxa"/>
            <w:shd w:val="clear" w:color="auto" w:fill="E2EFD9" w:themeFill="accent6" w:themeFillTint="33"/>
            <w:vAlign w:val="center"/>
          </w:tcPr>
          <w:p w14:paraId="0275EF2E" w14:textId="77777777" w:rsidR="00AB6A79" w:rsidRPr="00065599" w:rsidRDefault="00AB6A79" w:rsidP="008C7BA0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6A79" w:rsidRPr="005752DE" w14:paraId="6C592DDD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2A8EA4F5" w14:textId="77777777" w:rsidR="00AB6A79" w:rsidRPr="006B6B4D" w:rsidRDefault="00AB6A79" w:rsidP="006B6B4D">
            <w:pPr>
              <w:spacing w:before="100" w:beforeAutospacing="1" w:after="100" w:afterAutospacing="1"/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 xml:space="preserve">performance garantite </w:t>
            </w: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fino a 2.000 IOPS con</w:t>
            </w:r>
            <w:r w:rsidRPr="006B6B4D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</w:rPr>
              <w:t>workload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</w:rPr>
              <w:t xml:space="preserve"> 80% R e 20% W e block size 8k</w:t>
            </w:r>
          </w:p>
        </w:tc>
        <w:tc>
          <w:tcPr>
            <w:tcW w:w="6451" w:type="dxa"/>
            <w:shd w:val="clear" w:color="auto" w:fill="E2EFD9" w:themeFill="accent6" w:themeFillTint="33"/>
            <w:vAlign w:val="center"/>
          </w:tcPr>
          <w:p w14:paraId="3D5B22F7" w14:textId="77777777" w:rsidR="00AB6A79" w:rsidRPr="00065599" w:rsidRDefault="00AB6A79" w:rsidP="008C7BA0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6A79" w:rsidRPr="005752DE" w14:paraId="2A7359FE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34416E6C" w14:textId="20635927" w:rsidR="00AB6A79" w:rsidRPr="006B6B4D" w:rsidRDefault="00B12D2D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>lo Storage dovrà essere in grado di fornire una larghezza di banda fino a 12GB/sec e raggiungere 300 mila</w:t>
            </w:r>
            <w:r w:rsidR="00D8434E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6B6B4D">
              <w:rPr>
                <w:rFonts w:ascii="Cambria" w:hAnsi="Cambria"/>
                <w:sz w:val="22"/>
                <w:szCs w:val="22"/>
              </w:rPr>
              <w:t>IOPS usando un accesso sequenziale con blocchi in lettura/scrittura di adeguata dimensione tramite l'aggiunta di nuovi dischi SSD</w:t>
            </w:r>
          </w:p>
        </w:tc>
        <w:tc>
          <w:tcPr>
            <w:tcW w:w="6451" w:type="dxa"/>
            <w:shd w:val="clear" w:color="auto" w:fill="E2EFD9" w:themeFill="accent6" w:themeFillTint="33"/>
            <w:vAlign w:val="center"/>
          </w:tcPr>
          <w:p w14:paraId="4D35F7E1" w14:textId="77777777" w:rsidR="00AB6A79" w:rsidRPr="00065599" w:rsidRDefault="00AB6A79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6A79" w:rsidRPr="005752DE" w14:paraId="1A996ECA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2650244A" w14:textId="77777777" w:rsidR="00AB6A79" w:rsidRPr="006B6B4D" w:rsidRDefault="00B12D2D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>almeno 2 controller Active/Active ciascuna con almeno 16GB di RAM (32GB per Array)</w:t>
            </w:r>
          </w:p>
        </w:tc>
        <w:tc>
          <w:tcPr>
            <w:tcW w:w="6451" w:type="dxa"/>
            <w:shd w:val="clear" w:color="auto" w:fill="E2EFD9" w:themeFill="accent6" w:themeFillTint="33"/>
            <w:vAlign w:val="center"/>
          </w:tcPr>
          <w:p w14:paraId="6B8CFB81" w14:textId="77777777" w:rsidR="00AB6A79" w:rsidRPr="00065599" w:rsidRDefault="00AB6A79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6A79" w:rsidRPr="005752DE" w14:paraId="35FA883D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0B3BF6A8" w14:textId="77777777" w:rsidR="00AB6A79" w:rsidRPr="006B6B4D" w:rsidRDefault="00B12D2D" w:rsidP="006B6B4D">
            <w:pPr>
              <w:spacing w:before="100" w:beforeAutospacing="1" w:after="100" w:afterAutospacing="1"/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connettività 25Gb 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iSCSI</w:t>
            </w:r>
            <w:proofErr w:type="spellEnd"/>
          </w:p>
        </w:tc>
        <w:tc>
          <w:tcPr>
            <w:tcW w:w="6451" w:type="dxa"/>
            <w:shd w:val="clear" w:color="auto" w:fill="E2EFD9" w:themeFill="accent6" w:themeFillTint="33"/>
            <w:vAlign w:val="center"/>
          </w:tcPr>
          <w:p w14:paraId="16723226" w14:textId="77777777" w:rsidR="00AB6A79" w:rsidRPr="00065599" w:rsidRDefault="00AB6A79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6A79" w:rsidRPr="005752DE" w14:paraId="6654D4F2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67495AFC" w14:textId="77777777" w:rsidR="00AB6A79" w:rsidRPr="006B6B4D" w:rsidRDefault="00B12D2D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almeno 8 porte 25Gb (4 per controller)</w:t>
            </w:r>
          </w:p>
        </w:tc>
        <w:tc>
          <w:tcPr>
            <w:tcW w:w="6451" w:type="dxa"/>
            <w:shd w:val="clear" w:color="auto" w:fill="E2EFD9" w:themeFill="accent6" w:themeFillTint="33"/>
            <w:vAlign w:val="center"/>
          </w:tcPr>
          <w:p w14:paraId="043452B0" w14:textId="77777777" w:rsidR="00AB6A79" w:rsidRPr="00065599" w:rsidRDefault="00AB6A79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6A79" w:rsidRPr="005752DE" w14:paraId="247EF7C3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5F7A2BCB" w14:textId="77777777" w:rsidR="00AB6A79" w:rsidRPr="006B6B4D" w:rsidRDefault="00B12D2D" w:rsidP="006B6B4D">
            <w:pPr>
              <w:spacing w:before="100" w:beforeAutospacing="1" w:after="100" w:afterAutospacing="1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tutte le licenze di tipo perpetue necessarie al funzionamento del sistema che garantiscano la possibilità di effettuare almeno 1024 snapshot, sia in modalità programmata che manuale, volume copy e thin provisioning, pool dinamici, auto-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tiering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, replica asincrona di LUN, potendo gestire fino a 300 dischi</w:t>
            </w:r>
          </w:p>
        </w:tc>
        <w:tc>
          <w:tcPr>
            <w:tcW w:w="6451" w:type="dxa"/>
            <w:shd w:val="clear" w:color="auto" w:fill="E2EFD9" w:themeFill="accent6" w:themeFillTint="33"/>
            <w:vAlign w:val="center"/>
          </w:tcPr>
          <w:p w14:paraId="6CEEE974" w14:textId="77777777" w:rsidR="00AB6A79" w:rsidRPr="00065599" w:rsidRDefault="00AB6A79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6A79" w:rsidRPr="005752DE" w14:paraId="38326009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35F3A79E" w14:textId="77777777" w:rsidR="00AB6A79" w:rsidRPr="006B6B4D" w:rsidRDefault="00B12D2D" w:rsidP="006B6B4D">
            <w:pPr>
              <w:spacing w:before="100" w:beforeAutospacing="1" w:after="100" w:afterAutospacing="1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sistema di cablaggio con lunghezza minima di </w:t>
            </w:r>
            <w:r w:rsidRPr="00D8434E">
              <w:rPr>
                <w:rFonts w:ascii="Cambria" w:hAnsi="Cambria"/>
                <w:color w:val="000000" w:themeColor="text1"/>
                <w:sz w:val="22"/>
                <w:szCs w:val="22"/>
              </w:rPr>
              <w:t>3</w:t>
            </w: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metri per connettere la fornitura a 2 switch modello DELL S4128T-ON per mezzo di almeno 4 link 25GbE (8 link totali, con cavo </w:t>
            </w:r>
            <w:r w:rsidRPr="006B6B4D">
              <w:rPr>
                <w:rFonts w:ascii="Cambria" w:hAnsi="Cambria"/>
                <w:sz w:val="22"/>
                <w:szCs w:val="22"/>
              </w:rPr>
              <w:t>Breakout Cable</w:t>
            </w: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100GbE to 4X25GbE QSFP)</w:t>
            </w:r>
          </w:p>
        </w:tc>
        <w:tc>
          <w:tcPr>
            <w:tcW w:w="6451" w:type="dxa"/>
            <w:shd w:val="clear" w:color="auto" w:fill="E2EFD9" w:themeFill="accent6" w:themeFillTint="33"/>
            <w:vAlign w:val="center"/>
          </w:tcPr>
          <w:p w14:paraId="5F721F94" w14:textId="77777777" w:rsidR="00AB6A79" w:rsidRPr="00065599" w:rsidRDefault="00AB6A79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6A79" w:rsidRPr="005752DE" w14:paraId="2A7462B2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7F9B08FD" w14:textId="77777777" w:rsidR="00AB6A79" w:rsidRPr="006B6B4D" w:rsidRDefault="00B12D2D" w:rsidP="006B6B4D">
            <w:pPr>
              <w:spacing w:before="100" w:beforeAutospacing="1" w:after="100" w:afterAutospacing="1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lastRenderedPageBreak/>
              <w:t>numero di Rack Unit non dovrà essere superiore alle 5 unità includendo alimentatori, unità disco e tutto ciò che possa servire</w:t>
            </w:r>
          </w:p>
        </w:tc>
        <w:tc>
          <w:tcPr>
            <w:tcW w:w="6451" w:type="dxa"/>
            <w:shd w:val="clear" w:color="auto" w:fill="E2EFD9" w:themeFill="accent6" w:themeFillTint="33"/>
            <w:vAlign w:val="center"/>
          </w:tcPr>
          <w:p w14:paraId="79B4DC4D" w14:textId="77777777" w:rsidR="00AB6A79" w:rsidRPr="00065599" w:rsidRDefault="00AB6A79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3396E381" w14:textId="77777777" w:rsidTr="006B6B4D">
        <w:trPr>
          <w:trHeight w:val="737"/>
          <w:jc w:val="center"/>
        </w:trPr>
        <w:tc>
          <w:tcPr>
            <w:tcW w:w="12902" w:type="dxa"/>
            <w:gridSpan w:val="3"/>
            <w:shd w:val="clear" w:color="auto" w:fill="D0CECE" w:themeFill="background2" w:themeFillShade="E6"/>
            <w:vAlign w:val="center"/>
          </w:tcPr>
          <w:p w14:paraId="4DFB0FB8" w14:textId="77777777" w:rsidR="00AB72D4" w:rsidRPr="006B6B4D" w:rsidRDefault="00AB72D4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AB72D4" w:rsidRPr="005752DE" w14:paraId="70514C5B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3EA2A7A7" w14:textId="77777777" w:rsidR="00AB72D4" w:rsidRPr="006B6B4D" w:rsidRDefault="00AB72D4" w:rsidP="006B6B4D">
            <w:pPr>
              <w:spacing w:before="100" w:beforeAutospacing="1" w:after="100" w:afterAutospacing="1"/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 xml:space="preserve">supporto protocolli a livello di block: 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</w:rPr>
              <w:t>iSCSI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</w:rPr>
              <w:t>, Fibre Channel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010678B4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7C15045E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79EB3D63" w14:textId="77777777" w:rsidR="00AB72D4" w:rsidRPr="006B6B4D" w:rsidRDefault="00AB72D4" w:rsidP="006B6B4D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6B6B4D">
              <w:rPr>
                <w:rFonts w:ascii="Cambria" w:hAnsi="Cambria"/>
                <w:sz w:val="22"/>
                <w:szCs w:val="22"/>
                <w:lang w:val="en-US"/>
              </w:rPr>
              <w:t>supporto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  <w:lang w:val="en-US"/>
              </w:rPr>
              <w:t>copie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  <w:lang w:val="en-US"/>
              </w:rPr>
              <w:t>locali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  <w:lang w:val="en-US"/>
              </w:rPr>
              <w:t xml:space="preserve"> point-in-time (snapshot e thin clone)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509EEDC8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6F3BD023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4D558DDF" w14:textId="77777777" w:rsidR="00AB72D4" w:rsidRPr="006B6B4D" w:rsidRDefault="00AB72D4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>supporto replica basata su block nativa asincrona (senza costi aggiuntivi)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66308A70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6A3AE1FF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64ACCCAB" w14:textId="77777777" w:rsidR="00AB72D4" w:rsidRPr="006B6B4D" w:rsidRDefault="00AB72D4" w:rsidP="006B6B4D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un buon livello di espandibilità, permettendo l’alloggiamento di almeno 60 unità disco, ed essere in grado di supportare fino a 300 unità, senza costi di licenza aggiuntivi, per mezzo di hardware aggiuntivo, es.: cassetti dischi JBOD collegati via SAS 12Gb con collegamenti multicanale, potendo ospitare combinazioni di unità disco rigido (HDD), unità a stato solido (SSD), SAS 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near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-line (NL-SAS) e unità a crittografia automatica (SED) sia in formato da 2,5 che 3,5</w:t>
            </w:r>
            <w:r w:rsidRPr="006B6B4D">
              <w:rPr>
                <w:rFonts w:ascii="Cambria" w:hAnsi="Cambria"/>
                <w:color w:val="FF0000"/>
                <w:sz w:val="22"/>
                <w:szCs w:val="22"/>
              </w:rPr>
              <w:t xml:space="preserve"> </w:t>
            </w: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a caldo e senza interruzioni di servizio e rischi di perdita dei dati o informazioni;</w:t>
            </w:r>
          </w:p>
          <w:p w14:paraId="5434A2FF" w14:textId="77777777" w:rsidR="00AB72D4" w:rsidRPr="006B6B4D" w:rsidRDefault="00AB72D4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451" w:type="dxa"/>
            <w:shd w:val="clear" w:color="auto" w:fill="E2EFD9" w:themeFill="accent6" w:themeFillTint="33"/>
          </w:tcPr>
          <w:p w14:paraId="025DF98A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0C5363C5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6FFCDCB0" w14:textId="77777777" w:rsidR="00AB72D4" w:rsidRPr="006B6B4D" w:rsidRDefault="00AB72D4" w:rsidP="006B6B4D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supportare una capacità RAW di almeno 6 PB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52AB2FBE" w14:textId="77777777" w:rsidR="00AB72D4" w:rsidRPr="00065599" w:rsidRDefault="00AB72D4" w:rsidP="000F61EB">
            <w:pPr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30311B51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76272493" w14:textId="77777777" w:rsidR="00AB72D4" w:rsidRPr="006B6B4D" w:rsidRDefault="00AB72D4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>supportare il</w:t>
            </w: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caching dei dati in lettura su dischi SSD;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56B31B74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3793D6B5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66F1B4A9" w14:textId="77777777" w:rsidR="00AB72D4" w:rsidRPr="006B6B4D" w:rsidRDefault="00AB72D4" w:rsidP="006B6B4D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garantire un alto grado di resilienza al guasto del singolo componente fisico, quale ad esempio: un link di interconnessione alla rete, un controller, un disco fisico, una linea di alimentazione etc. In caso di fallimento di un controller (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failover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), la riassegnazione dei volumi logici (LUN) dovrà avvenire in modo totalmente trasparente e senza disservizio, dovrà essere pienamente garantita la compatibilità con (almeno) i sistemi operativi di seguito riportati e i relativi 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tool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di 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multipath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. Nel caso </w:t>
            </w: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lastRenderedPageBreak/>
              <w:t xml:space="preserve">il vendor preveda la fornitura di 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tool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di 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multipath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specifici alla gestione del 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failover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load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-balancing dovrà essere garantito il funzionamento dei tool con il sistema operativo specificato per tutti gli anni di durata contrattuale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61ACA71C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419BAC6E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3DA0A90F" w14:textId="77777777" w:rsidR="00AB72D4" w:rsidRPr="006B6B4D" w:rsidRDefault="00AB72D4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>essere potenzialmente in grado di ospitare almeno 8 porte 25GbE per sistema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57826CFB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75CAD8DF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0C32CA3C" w14:textId="77777777" w:rsidR="00AB72D4" w:rsidRPr="006B6B4D" w:rsidRDefault="00AB72D4" w:rsidP="006B6B4D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la conservazione dei dati deve essere accettabilmente resiliente al guasto dei media sottostanti, entrambi i controller dovranno supportare tecnologie di protezione dei dati avanzate basate sui pool di dischi, che consentano l’uso di tutti i dischi per distribuire il carico di lavoro, auto-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tiering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, oltre ai tradizionali RAID 1,5,6 e 10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13852436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107B361E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01EED821" w14:textId="77777777" w:rsidR="00AB72D4" w:rsidRPr="006B6B4D" w:rsidRDefault="00AB72D4" w:rsidP="006B6B4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 xml:space="preserve">supportare block 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</w:rPr>
              <w:t>tiering</w:t>
            </w:r>
            <w:proofErr w:type="spellEnd"/>
          </w:p>
        </w:tc>
        <w:tc>
          <w:tcPr>
            <w:tcW w:w="6451" w:type="dxa"/>
            <w:shd w:val="clear" w:color="auto" w:fill="E2EFD9" w:themeFill="accent6" w:themeFillTint="33"/>
          </w:tcPr>
          <w:p w14:paraId="42E619DE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694242E9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61D7C68F" w14:textId="77777777" w:rsidR="00AB72D4" w:rsidRPr="006B6B4D" w:rsidRDefault="00AB72D4" w:rsidP="006B6B4D">
            <w:pPr>
              <w:jc w:val="both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>integrazione delle API di virtualizzazione VMware: VAAI e VASA.</w:t>
            </w:r>
          </w:p>
          <w:p w14:paraId="2DE9357D" w14:textId="271B4E26" w:rsidR="00AB72D4" w:rsidRPr="006B6B4D" w:rsidRDefault="00AB72D4" w:rsidP="006B6B4D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supportare la creazione di volumi logici di tipo thin-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provisioned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fino a </w:t>
            </w:r>
            <w:r w:rsidR="009440B4">
              <w:rPr>
                <w:rFonts w:ascii="Cambria" w:hAnsi="Cambria"/>
                <w:color w:val="000000" w:themeColor="text1"/>
                <w:sz w:val="22"/>
                <w:szCs w:val="22"/>
              </w:rPr>
              <w:t>128</w:t>
            </w:r>
            <w:r w:rsidRPr="006B1E7C">
              <w:rPr>
                <w:rFonts w:ascii="Cambria" w:hAnsi="Cambria"/>
                <w:color w:val="000000" w:themeColor="text1"/>
                <w:sz w:val="22"/>
                <w:szCs w:val="22"/>
              </w:rPr>
              <w:t>TB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66B5D892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59760D63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2E0DD7BC" w14:textId="23F604FF" w:rsidR="00AB72D4" w:rsidRPr="006B6B4D" w:rsidRDefault="00AB72D4" w:rsidP="006B6B4D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supportare il collegamento di almeno </w:t>
            </w:r>
            <w:r w:rsidR="00235654">
              <w:rPr>
                <w:rFonts w:ascii="Cambria" w:hAnsi="Cambria"/>
                <w:color w:val="000000" w:themeColor="text1"/>
                <w:sz w:val="22"/>
                <w:szCs w:val="22"/>
              </w:rPr>
              <w:t>256</w:t>
            </w: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host</w:t>
            </w:r>
            <w:proofErr w:type="spellEnd"/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>;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641A2122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5ADE7145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20EC685B" w14:textId="77777777" w:rsidR="00AB72D4" w:rsidRPr="006B6B4D" w:rsidRDefault="00AB72D4" w:rsidP="006B6B4D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 xml:space="preserve">supportare la funzione di </w:t>
            </w:r>
            <w:proofErr w:type="spellStart"/>
            <w:r w:rsidRPr="006B6B4D">
              <w:rPr>
                <w:rFonts w:ascii="Cambria" w:hAnsi="Cambria"/>
                <w:i/>
                <w:iCs/>
                <w:sz w:val="22"/>
                <w:szCs w:val="22"/>
              </w:rPr>
              <w:t>Consistency</w:t>
            </w:r>
            <w:proofErr w:type="spellEnd"/>
            <w:r w:rsidRPr="006B6B4D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B6B4D">
              <w:rPr>
                <w:rFonts w:ascii="Cambria" w:hAnsi="Cambria"/>
                <w:i/>
                <w:iCs/>
                <w:sz w:val="22"/>
                <w:szCs w:val="22"/>
              </w:rPr>
              <w:t>Groups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</w:rPr>
              <w:t xml:space="preserve"> snapshot</w:t>
            </w:r>
            <w:r w:rsidRPr="006B6B4D">
              <w:rPr>
                <w:rFonts w:ascii="Cambria" w:hAnsi="Cambria"/>
                <w:color w:val="000000" w:themeColor="text1"/>
                <w:sz w:val="22"/>
                <w:szCs w:val="22"/>
              </w:rPr>
              <w:t xml:space="preserve"> che permette l'esecuzione delle snapshot simultanee di una raccolta di volumi in un determinato momento, garantendo in tal modo copie coerenti nel caso di arresti anomali (anziché coerenti con l'applicazione);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286C3949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4CCEB247" w14:textId="77777777" w:rsidTr="006B6B4D">
        <w:trPr>
          <w:trHeight w:val="567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22AC5669" w14:textId="77777777" w:rsidR="00AB72D4" w:rsidRPr="006B6B4D" w:rsidRDefault="00AB72D4" w:rsidP="006B6B4D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>garantire l’aggiornamento del firmware Online, senza interruzioni;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487BB4AA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  <w:tr w:rsidR="00AB72D4" w:rsidRPr="005752DE" w14:paraId="6A971B31" w14:textId="77777777" w:rsidTr="006B6B4D">
        <w:trPr>
          <w:trHeight w:val="70"/>
          <w:jc w:val="center"/>
        </w:trPr>
        <w:tc>
          <w:tcPr>
            <w:tcW w:w="6451" w:type="dxa"/>
            <w:gridSpan w:val="2"/>
            <w:shd w:val="clear" w:color="auto" w:fill="auto"/>
            <w:vAlign w:val="center"/>
          </w:tcPr>
          <w:p w14:paraId="309A2370" w14:textId="77777777" w:rsidR="00AB72D4" w:rsidRPr="006B6B4D" w:rsidRDefault="00AB72D4" w:rsidP="006B6B4D">
            <w:pPr>
              <w:spacing w:before="100" w:beforeAutospacing="1" w:after="100" w:afterAutospacing="1"/>
              <w:jc w:val="both"/>
              <w:rPr>
                <w:rFonts w:ascii="Cambria" w:hAnsi="Cambria"/>
                <w:sz w:val="22"/>
                <w:szCs w:val="22"/>
              </w:rPr>
            </w:pPr>
            <w:r w:rsidRPr="006B6B4D">
              <w:rPr>
                <w:rFonts w:ascii="Cambria" w:hAnsi="Cambria"/>
                <w:sz w:val="22"/>
                <w:szCs w:val="22"/>
              </w:rPr>
              <w:t xml:space="preserve">garantire il supporto di sistemi operativi 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</w:rPr>
              <w:t>host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</w:rPr>
              <w:t xml:space="preserve"> Microsoft Windows Server 2022, 2019 e   2016, VMware 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</w:rPr>
              <w:t>vSphere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</w:rPr>
              <w:t xml:space="preserve"> 7.0 e 6.7, Red 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</w:rPr>
              <w:t>Hat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</w:rPr>
              <w:t xml:space="preserve"> Linux/</w:t>
            </w:r>
            <w:proofErr w:type="spellStart"/>
            <w:r w:rsidRPr="006B6B4D">
              <w:rPr>
                <w:rFonts w:ascii="Cambria" w:hAnsi="Cambria"/>
                <w:sz w:val="22"/>
                <w:szCs w:val="22"/>
              </w:rPr>
              <w:t>CentOS</w:t>
            </w:r>
            <w:proofErr w:type="spellEnd"/>
            <w:r w:rsidRPr="006B6B4D">
              <w:rPr>
                <w:rFonts w:ascii="Cambria" w:hAnsi="Cambria"/>
                <w:sz w:val="22"/>
                <w:szCs w:val="22"/>
              </w:rPr>
              <w:t xml:space="preserve">  7 e 8</w:t>
            </w:r>
          </w:p>
        </w:tc>
        <w:tc>
          <w:tcPr>
            <w:tcW w:w="6451" w:type="dxa"/>
            <w:shd w:val="clear" w:color="auto" w:fill="E2EFD9" w:themeFill="accent6" w:themeFillTint="33"/>
          </w:tcPr>
          <w:p w14:paraId="244E4AC5" w14:textId="77777777" w:rsidR="00AB72D4" w:rsidRPr="00065599" w:rsidRDefault="00AB72D4" w:rsidP="00AB6A79">
            <w:pPr>
              <w:jc w:val="center"/>
              <w:rPr>
                <w:rFonts w:ascii="Cambria" w:hAnsi="Cambria"/>
                <w:b/>
                <w:sz w:val="22"/>
                <w:szCs w:val="16"/>
              </w:rPr>
            </w:pPr>
          </w:p>
        </w:tc>
      </w:tr>
    </w:tbl>
    <w:p w14:paraId="41FB0669" w14:textId="77777777" w:rsidR="00AE4441" w:rsidRDefault="00C71736"/>
    <w:sectPr w:rsidR="00AE4441" w:rsidSect="00266305">
      <w:headerReference w:type="default" r:id="rId7"/>
      <w:footerReference w:type="default" r:id="rId8"/>
      <w:pgSz w:w="16838" w:h="11906" w:orient="landscape"/>
      <w:pgMar w:top="1701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AA56E" w14:textId="77777777" w:rsidR="00CF3C3C" w:rsidRDefault="00CF3C3C" w:rsidP="00266305">
      <w:r>
        <w:separator/>
      </w:r>
    </w:p>
  </w:endnote>
  <w:endnote w:type="continuationSeparator" w:id="0">
    <w:p w14:paraId="2AB6E8A1" w14:textId="77777777" w:rsidR="00CF3C3C" w:rsidRDefault="00CF3C3C" w:rsidP="0026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1840215"/>
      <w:docPartObj>
        <w:docPartGallery w:val="Page Numbers (Bottom of Page)"/>
        <w:docPartUnique/>
      </w:docPartObj>
    </w:sdtPr>
    <w:sdtEndPr/>
    <w:sdtContent>
      <w:p w14:paraId="22CA41F9" w14:textId="77777777" w:rsidR="00266305" w:rsidRDefault="00266305">
        <w:pPr>
          <w:pStyle w:val="Pidipagina"/>
          <w:jc w:val="center"/>
        </w:pPr>
        <w:r w:rsidRPr="00266305">
          <w:rPr>
            <w:rFonts w:ascii="Cambria" w:hAnsi="Cambria"/>
          </w:rPr>
          <w:fldChar w:fldCharType="begin"/>
        </w:r>
        <w:r w:rsidRPr="00266305">
          <w:rPr>
            <w:rFonts w:ascii="Cambria" w:hAnsi="Cambria"/>
          </w:rPr>
          <w:instrText>PAGE   \* MERGEFORMAT</w:instrText>
        </w:r>
        <w:r w:rsidRPr="00266305">
          <w:rPr>
            <w:rFonts w:ascii="Cambria" w:hAnsi="Cambria"/>
          </w:rPr>
          <w:fldChar w:fldCharType="separate"/>
        </w:r>
        <w:r w:rsidRPr="00266305">
          <w:rPr>
            <w:rFonts w:ascii="Cambria" w:hAnsi="Cambria"/>
          </w:rPr>
          <w:t>2</w:t>
        </w:r>
        <w:r w:rsidRPr="00266305">
          <w:rPr>
            <w:rFonts w:ascii="Cambria" w:hAnsi="Cambria"/>
          </w:rPr>
          <w:fldChar w:fldCharType="end"/>
        </w:r>
      </w:p>
    </w:sdtContent>
  </w:sdt>
  <w:p w14:paraId="4451A787" w14:textId="77777777" w:rsidR="00266305" w:rsidRDefault="002663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33EA9" w14:textId="77777777" w:rsidR="00CF3C3C" w:rsidRDefault="00CF3C3C" w:rsidP="00266305">
      <w:r>
        <w:separator/>
      </w:r>
    </w:p>
  </w:footnote>
  <w:footnote w:type="continuationSeparator" w:id="0">
    <w:p w14:paraId="04517922" w14:textId="77777777" w:rsidR="00CF3C3C" w:rsidRDefault="00CF3C3C" w:rsidP="00266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7855C" w14:textId="77777777" w:rsidR="00266305" w:rsidRDefault="00266305">
    <w:pPr>
      <w:pStyle w:val="Intestazione"/>
      <w:rPr>
        <w:rFonts w:ascii="Cambria" w:hAnsi="Cambria"/>
        <w:sz w:val="22"/>
      </w:rPr>
    </w:pPr>
    <w:proofErr w:type="spellStart"/>
    <w:r w:rsidRPr="00266305">
      <w:rPr>
        <w:rFonts w:ascii="Cambria" w:hAnsi="Cambria"/>
        <w:sz w:val="22"/>
      </w:rPr>
      <w:t>All</w:t>
    </w:r>
    <w:proofErr w:type="spellEnd"/>
    <w:r w:rsidRPr="00266305">
      <w:rPr>
        <w:rFonts w:ascii="Cambria" w:hAnsi="Cambria"/>
        <w:sz w:val="22"/>
      </w:rPr>
      <w:t xml:space="preserve">. </w:t>
    </w:r>
    <w:proofErr w:type="spellStart"/>
    <w:r w:rsidRPr="00266305">
      <w:rPr>
        <w:rFonts w:ascii="Cambria" w:hAnsi="Cambria"/>
        <w:sz w:val="22"/>
      </w:rPr>
      <w:t>A_Requisiti</w:t>
    </w:r>
    <w:proofErr w:type="spellEnd"/>
    <w:r w:rsidRPr="00266305">
      <w:rPr>
        <w:rFonts w:ascii="Cambria" w:hAnsi="Cambria"/>
        <w:sz w:val="22"/>
      </w:rPr>
      <w:t xml:space="preserve"> minimi inderogabili</w:t>
    </w:r>
  </w:p>
  <w:p w14:paraId="1603FF94" w14:textId="069B5427" w:rsidR="00266305" w:rsidRPr="00266305" w:rsidRDefault="00266305">
    <w:pPr>
      <w:pStyle w:val="Intestazione"/>
      <w:rPr>
        <w:rFonts w:ascii="Cambria" w:hAnsi="Cambria"/>
        <w:sz w:val="20"/>
      </w:rPr>
    </w:pPr>
    <w:r w:rsidRPr="00266305">
      <w:rPr>
        <w:rFonts w:ascii="Cambria" w:hAnsi="Cambria"/>
        <w:sz w:val="20"/>
      </w:rPr>
      <w:t>FORNITURA di COMPONENTI PER L’AUMENTO DELLA POTENZA DI CALCOLO (E DELLO SPAZIO DI STORAGE) DEL CLUSTER HPC IN GESTIONE PRESSO IL DIPARTIMENTO DI ENERGIA</w:t>
    </w:r>
    <w:r w:rsidR="00C71736">
      <w:rPr>
        <w:rFonts w:ascii="Cambria" w:hAnsi="Cambria"/>
        <w:sz w:val="20"/>
      </w:rPr>
      <w:t xml:space="preserve"> (2)</w:t>
    </w:r>
    <w:r>
      <w:rPr>
        <w:rFonts w:ascii="Cambria" w:hAnsi="Cambria"/>
        <w:sz w:val="20"/>
      </w:rPr>
      <w:t xml:space="preserve"> – CIG </w:t>
    </w:r>
    <w:r w:rsidR="00C71736" w:rsidRPr="00C71736">
      <w:rPr>
        <w:rFonts w:ascii="Cambria" w:hAnsi="Cambria"/>
        <w:sz w:val="20"/>
      </w:rPr>
      <w:t>934367113C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632E"/>
    <w:multiLevelType w:val="hybridMultilevel"/>
    <w:tmpl w:val="545CA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74CE6"/>
    <w:multiLevelType w:val="hybridMultilevel"/>
    <w:tmpl w:val="AB9AAB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99"/>
    <w:rsid w:val="00065599"/>
    <w:rsid w:val="00077A21"/>
    <w:rsid w:val="000F61EB"/>
    <w:rsid w:val="00235654"/>
    <w:rsid w:val="00266305"/>
    <w:rsid w:val="003C5F22"/>
    <w:rsid w:val="0050194B"/>
    <w:rsid w:val="006B1E7C"/>
    <w:rsid w:val="006B6B4D"/>
    <w:rsid w:val="009440B4"/>
    <w:rsid w:val="00AB6A79"/>
    <w:rsid w:val="00AB72D4"/>
    <w:rsid w:val="00B12D2D"/>
    <w:rsid w:val="00B767FF"/>
    <w:rsid w:val="00BC7A5A"/>
    <w:rsid w:val="00C71736"/>
    <w:rsid w:val="00CF3C3C"/>
    <w:rsid w:val="00D75CFD"/>
    <w:rsid w:val="00D8434E"/>
    <w:rsid w:val="00E8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2E34B"/>
  <w15:chartTrackingRefBased/>
  <w15:docId w15:val="{3F1E6C4A-0B49-4F0D-B355-25CA5E5E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6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55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5599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AB6A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663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630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63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6305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3</cp:revision>
  <dcterms:created xsi:type="dcterms:W3CDTF">2022-07-26T09:18:00Z</dcterms:created>
  <dcterms:modified xsi:type="dcterms:W3CDTF">2022-07-27T07:54:00Z</dcterms:modified>
</cp:coreProperties>
</file>