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ACDC4" w14:textId="147B6263" w:rsidR="009A0F85" w:rsidRPr="009A0F85" w:rsidRDefault="009A0F85" w:rsidP="009A0F8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9A0F85">
        <w:rPr>
          <w:rFonts w:ascii="Cambria" w:hAnsi="Cambria" w:cs="Calibri"/>
          <w:b/>
          <w:bCs/>
          <w:color w:val="000000" w:themeColor="text1"/>
        </w:rPr>
        <w:t>FORNITURA DI UNA ATTREZZATURA SEMI-AUTOMATIZZATA PER IL DISASSEMBLAGGIO E IL RE-ASSEMBLAGGIO DI MODULI DI BATTERIE AGLI IONI DI LITIO</w:t>
      </w:r>
      <w:r>
        <w:rPr>
          <w:rFonts w:ascii="Cambria" w:hAnsi="Cambria" w:cs="Calibri"/>
          <w:b/>
          <w:bCs/>
          <w:color w:val="000000" w:themeColor="text1"/>
        </w:rPr>
        <w:t xml:space="preserve"> - </w:t>
      </w:r>
      <w:r w:rsidRPr="009A0F85">
        <w:rPr>
          <w:rFonts w:ascii="Cambria" w:hAnsi="Cambria" w:cs="Calibri"/>
          <w:b/>
          <w:bCs/>
          <w:color w:val="000000" w:themeColor="text1"/>
        </w:rPr>
        <w:t xml:space="preserve">CIG </w:t>
      </w:r>
      <w:r w:rsidR="00D4735C" w:rsidRPr="00D4735C">
        <w:rPr>
          <w:rFonts w:ascii="Cambria" w:hAnsi="Cambria" w:cs="Calibri"/>
          <w:b/>
          <w:bCs/>
          <w:color w:val="000000" w:themeColor="text1"/>
        </w:rPr>
        <w:t>9283213DB3</w:t>
      </w:r>
    </w:p>
    <w:p w14:paraId="5FAFD62A" w14:textId="4564AC46" w:rsidR="00465688" w:rsidRPr="004A14AA" w:rsidRDefault="009A0F85" w:rsidP="009A0F8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9A0F85">
        <w:rPr>
          <w:rFonts w:ascii="Cambria" w:hAnsi="Cambria" w:cs="Calibri"/>
          <w:b/>
          <w:bCs/>
          <w:color w:val="000000" w:themeColor="text1"/>
        </w:rPr>
        <w:t>CUP D45F21002960007</w:t>
      </w:r>
    </w:p>
    <w:p w14:paraId="613D102E" w14:textId="77777777" w:rsidR="003732A0" w:rsidRPr="004A14AA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Pr="004A14AA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A14AA">
        <w:rPr>
          <w:rFonts w:ascii="Cambria" w:hAnsi="Cambria" w:cs="Calibri"/>
          <w:b/>
          <w:color w:val="000000" w:themeColor="text1"/>
        </w:rPr>
        <w:t xml:space="preserve">ALLEGATO </w:t>
      </w:r>
      <w:r w:rsidR="0060191A" w:rsidRPr="004A14AA">
        <w:rPr>
          <w:rFonts w:ascii="Cambria" w:hAnsi="Cambria" w:cs="Calibri"/>
          <w:b/>
          <w:color w:val="000000" w:themeColor="text1"/>
        </w:rPr>
        <w:t>C</w:t>
      </w:r>
      <w:r w:rsidR="00EF5E60" w:rsidRPr="004A14AA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4A14AA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4A14AA">
        <w:rPr>
          <w:rFonts w:ascii="Cambria" w:hAnsi="Cambria" w:cs="Calibri"/>
          <w:b/>
          <w:color w:val="000000" w:themeColor="text1"/>
        </w:rPr>
        <w:t>DICHIAR</w:t>
      </w:r>
      <w:r w:rsidR="00EF60A6" w:rsidRPr="004A14AA">
        <w:rPr>
          <w:rFonts w:ascii="Cambria" w:hAnsi="Cambria" w:cs="Calibri"/>
          <w:b/>
          <w:color w:val="000000" w:themeColor="text1"/>
        </w:rPr>
        <w:t>A</w:t>
      </w:r>
      <w:r w:rsidR="00EC47A1" w:rsidRPr="004A14AA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4A14AA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0938" w:type="dxa"/>
        <w:tblInd w:w="-714" w:type="dxa"/>
        <w:tblLook w:val="04A0" w:firstRow="1" w:lastRow="0" w:firstColumn="1" w:lastColumn="0" w:noHBand="0" w:noVBand="1"/>
      </w:tblPr>
      <w:tblGrid>
        <w:gridCol w:w="6150"/>
        <w:gridCol w:w="4788"/>
      </w:tblGrid>
      <w:tr w:rsidR="00001AED" w:rsidRPr="004A14AA" w14:paraId="23AEA904" w14:textId="56001A84" w:rsidTr="00163F10">
        <w:trPr>
          <w:trHeight w:val="6137"/>
        </w:trPr>
        <w:tc>
          <w:tcPr>
            <w:tcW w:w="6150" w:type="dxa"/>
            <w:vAlign w:val="center"/>
          </w:tcPr>
          <w:p w14:paraId="6DBA6B2E" w14:textId="0009E296" w:rsidR="00001AED" w:rsidRPr="00D71A6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4788" w:type="dxa"/>
          </w:tcPr>
          <w:p w14:paraId="35C5F849" w14:textId="77777777" w:rsidR="00001AED" w:rsidRPr="00D71A62" w:rsidRDefault="00001AED" w:rsidP="00C066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71A62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="0043477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offerta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71A62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7A0872DD" w:rsidR="00513BA3" w:rsidRPr="00D71A62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In caso di discrepanze tra quanto dichiarato nel presente documento</w:t>
            </w:r>
            <w:r w:rsid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e quanto dichiarato a sistema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64AA5ADD" w:rsidR="00A35CE1" w:rsidRPr="00D71A62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even</w:t>
            </w:r>
            <w:r w:rsidR="004A63AC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t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uali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pari a zero per il criterio corrispondente indicato a sistema.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8B6E3D" w:rsidRPr="004A14AA" w14:paraId="568834DA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60F" w14:textId="77777777" w:rsidR="00FA19B4" w:rsidRDefault="00FA19B4" w:rsidP="00D71A62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bookmarkStart w:id="0" w:name="_Toc520897709"/>
            <w:bookmarkStart w:id="1" w:name="_Toc43881983"/>
          </w:p>
          <w:p w14:paraId="3D3D23D1" w14:textId="18CF2A71" w:rsidR="009A0F85" w:rsidRDefault="009A0F85" w:rsidP="00D71A62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1 Copertura di garanzia</w:t>
            </w:r>
          </w:p>
          <w:p w14:paraId="1DFD61FA" w14:textId="77777777" w:rsidR="009A0F85" w:rsidRPr="009A0F85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a)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>Garanzia = 24 mesi</w:t>
            </w:r>
          </w:p>
          <w:p w14:paraId="1CA47948" w14:textId="77777777" w:rsidR="009A0F85" w:rsidRPr="009A0F85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b)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>24 mesi &lt; Garanzia &lt; 36 mesi</w:t>
            </w:r>
          </w:p>
          <w:p w14:paraId="26087049" w14:textId="77777777" w:rsidR="008B6E3D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>Garanzia ≥ 36 mesi</w:t>
            </w:r>
          </w:p>
          <w:p w14:paraId="488175AB" w14:textId="203B8274" w:rsidR="00FA19B4" w:rsidRPr="00D71A62" w:rsidRDefault="00FA19B4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4D9B" w14:textId="5AFBE6FB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l’opzione offerta</w:t>
            </w:r>
          </w:p>
          <w:p w14:paraId="20221804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7A7ADD49" w14:textId="4EA30BB0" w:rsidR="008B6E3D" w:rsidRPr="00D71A62" w:rsidRDefault="008B6E3D" w:rsidP="00B6432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0"/>
      <w:bookmarkEnd w:id="1"/>
      <w:tr w:rsidR="00D71A62" w:rsidRPr="004A14AA" w14:paraId="63E5F317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0E43" w14:textId="77777777" w:rsidR="00FA19B4" w:rsidRDefault="00FA19B4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</w:p>
          <w:p w14:paraId="02972C40" w14:textId="2CC879B0" w:rsidR="009A0F85" w:rsidRDefault="009A0F85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2 Fornitura di maschere/dime per supportare le operazioni manuali e minimizzare l’errore dell’operatore nelle fasi di </w:t>
            </w:r>
            <w:proofErr w:type="spellStart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disassemblaggio</w:t>
            </w:r>
            <w:proofErr w:type="spellEnd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/</w:t>
            </w:r>
            <w:proofErr w:type="spellStart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riassemblaggio</w:t>
            </w:r>
            <w:proofErr w:type="spellEnd"/>
          </w:p>
          <w:p w14:paraId="1069015F" w14:textId="77777777" w:rsidR="009A0F85" w:rsidRPr="009A0F85" w:rsidRDefault="009A0F85" w:rsidP="009A0F85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>Assenza di maschere/dime</w:t>
            </w:r>
          </w:p>
          <w:p w14:paraId="61D4AD92" w14:textId="77777777" w:rsidR="00D71A62" w:rsidRDefault="009A0F85" w:rsidP="009A0F85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 xml:space="preserve">Presenza di maschere/dime per tutte le fasi manuali di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disassemblaggio</w:t>
            </w:r>
            <w:proofErr w:type="spellEnd"/>
          </w:p>
          <w:p w14:paraId="079350FB" w14:textId="37BCD218" w:rsidR="00FA19B4" w:rsidRPr="00D71A62" w:rsidRDefault="00FA19B4" w:rsidP="009A0F85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2D80" w14:textId="77777777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l’opzione offerta</w:t>
            </w:r>
          </w:p>
          <w:p w14:paraId="5826CF27" w14:textId="09BB2B51" w:rsidR="00D71A62" w:rsidRPr="00D71A62" w:rsidRDefault="00D71A62" w:rsidP="00D71A62">
            <w:pPr>
              <w:suppressAutoHyphens w:val="0"/>
              <w:rPr>
                <w:rFonts w:ascii="Cambria" w:eastAsia="MS Mincho" w:hAnsi="Cambria" w:cs="Calibri"/>
                <w:bCs/>
                <w:sz w:val="22"/>
                <w:szCs w:val="22"/>
                <w:lang w:val="x-none" w:eastAsia="x-none"/>
              </w:rPr>
            </w:pPr>
          </w:p>
        </w:tc>
      </w:tr>
      <w:tr w:rsidR="009A0F85" w:rsidRPr="004A14AA" w14:paraId="01D39245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7206" w14:textId="77777777" w:rsidR="00FA19B4" w:rsidRDefault="00FA19B4" w:rsidP="009A0F85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</w:p>
          <w:p w14:paraId="6F2C8ECA" w14:textId="3713A57D" w:rsidR="009A0F85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3 Tempi di </w:t>
            </w:r>
            <w:proofErr w:type="spellStart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disassemblaggio</w:t>
            </w:r>
            <w:proofErr w:type="spellEnd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 di un modul</w:t>
            </w:r>
            <w:r w:rsidRPr="00FA19B4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o*</w:t>
            </w:r>
          </w:p>
          <w:p w14:paraId="597B5987" w14:textId="0322A3A1" w:rsidR="009A0F85" w:rsidRPr="009A0F85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a)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 xml:space="preserve">Tempo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disassemblaggio</w:t>
            </w:r>
            <w:proofErr w:type="spellEnd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≥ 30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min</w:t>
            </w:r>
            <w:proofErr w:type="spellEnd"/>
          </w:p>
          <w:p w14:paraId="6C268288" w14:textId="77777777" w:rsidR="009A0F85" w:rsidRPr="009A0F85" w:rsidRDefault="009A0F85" w:rsidP="009A0F85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b)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 xml:space="preserve">20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min</w:t>
            </w:r>
            <w:proofErr w:type="spellEnd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≤ Tempo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disassemblaggio</w:t>
            </w:r>
            <w:proofErr w:type="spellEnd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&lt; 30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min</w:t>
            </w:r>
            <w:proofErr w:type="spellEnd"/>
          </w:p>
          <w:p w14:paraId="231C1342" w14:textId="77777777" w:rsidR="00FA19B4" w:rsidRDefault="009A0F85" w:rsidP="00FA19B4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 xml:space="preserve">Tempo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disassemblaggio</w:t>
            </w:r>
            <w:proofErr w:type="spellEnd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&lt; 20 </w:t>
            </w:r>
            <w:proofErr w:type="spellStart"/>
            <w:r w:rsidRPr="009A0F85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min</w:t>
            </w:r>
            <w:proofErr w:type="spellEnd"/>
          </w:p>
          <w:p w14:paraId="455613BC" w14:textId="77777777" w:rsidR="00FA19B4" w:rsidRDefault="00FA19B4" w:rsidP="00FA19B4">
            <w:pPr>
              <w:suppressAutoHyphens w:val="0"/>
              <w:jc w:val="left"/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</w:pPr>
          </w:p>
          <w:p w14:paraId="2A9786A5" w14:textId="071B81FA" w:rsidR="00FA19B4" w:rsidRDefault="00FA19B4" w:rsidP="00FA19B4">
            <w:pPr>
              <w:suppressAutoHyphens w:val="0"/>
              <w:jc w:val="left"/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</w:pPr>
            <w:r w:rsidRPr="00FA19B4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 xml:space="preserve">*  tempo necessario al </w:t>
            </w:r>
            <w:proofErr w:type="spellStart"/>
            <w:r w:rsidRPr="00FA19B4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>disassemblaggio</w:t>
            </w:r>
            <w:proofErr w:type="spellEnd"/>
            <w:r w:rsidRPr="00FA19B4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 xml:space="preserve"> completo di un modulo batteria commerciale contenente al suo interno 12 celle prismatiche connesse in configurazione 3p4s da 19 bus-bar di spessore 0,5 mm saldate a due poli elettrici ciascuna (per un totale di 38 connessioni elettriche da</w:t>
            </w:r>
            <w:r w:rsidRPr="00FA19B4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 </w:t>
            </w:r>
            <w:r w:rsidRPr="00FA19B4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>rimuovere) e 4 rivetti che chiudono lateralmente il case metallico protettivo del modulo</w:t>
            </w:r>
          </w:p>
          <w:p w14:paraId="619B98E3" w14:textId="7CE2F9D6" w:rsidR="00FA19B4" w:rsidRPr="00D71A62" w:rsidRDefault="00FA19B4" w:rsidP="00FA19B4">
            <w:pPr>
              <w:suppressAutoHyphens w:val="0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EAA8" w14:textId="77777777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lastRenderedPageBreak/>
              <w:t>Indicare l’opzione offerta</w:t>
            </w:r>
          </w:p>
          <w:p w14:paraId="5D863CB3" w14:textId="66102E30" w:rsidR="009A0F85" w:rsidRPr="00D71A62" w:rsidRDefault="009A0F85" w:rsidP="009A0F85">
            <w:pPr>
              <w:suppressAutoHyphens w:val="0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</w:p>
        </w:tc>
      </w:tr>
      <w:tr w:rsidR="009A0F85" w:rsidRPr="004A14AA" w14:paraId="6F6EB612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6330" w14:textId="77777777" w:rsidR="00FA19B4" w:rsidRDefault="00FA19B4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  <w:p w14:paraId="697A8EBA" w14:textId="1215442E" w:rsidR="009A0F85" w:rsidRDefault="009A0F85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 xml:space="preserve">4 Presenza di un sistema robotizzato collaborativo in supporto alle attività manuali nell’area di </w:t>
            </w:r>
            <w:proofErr w:type="spellStart"/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riassemblaggio</w:t>
            </w:r>
            <w:proofErr w:type="spellEnd"/>
          </w:p>
          <w:p w14:paraId="69546311" w14:textId="18CC7183" w:rsidR="009A0F85" w:rsidRPr="009A0F85" w:rsidRDefault="009A0F85" w:rsidP="009A0F85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>Altro sistema di movimentazione</w:t>
            </w:r>
          </w:p>
          <w:p w14:paraId="4D5DCAFF" w14:textId="77777777" w:rsidR="009A0F85" w:rsidRDefault="009A0F85" w:rsidP="009A0F85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</w:t>
            </w:r>
            <w:r w:rsidRPr="009A0F85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>Robot collaborativo</w:t>
            </w:r>
          </w:p>
          <w:p w14:paraId="5A97240D" w14:textId="7F1B1767" w:rsidR="00FA19B4" w:rsidRPr="00D71A62" w:rsidRDefault="00FA19B4" w:rsidP="009A0F85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96D2" w14:textId="77777777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l’opzione offerta</w:t>
            </w:r>
          </w:p>
          <w:p w14:paraId="37EF391C" w14:textId="41B8D9AB" w:rsidR="009A0F85" w:rsidRPr="00D71A62" w:rsidRDefault="009A0F85" w:rsidP="009A0F85">
            <w:pPr>
              <w:suppressAutoHyphens w:val="0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</w:p>
        </w:tc>
      </w:tr>
      <w:tr w:rsidR="009A0F85" w:rsidRPr="004A14AA" w14:paraId="31BE9DCF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182B" w14:textId="77777777" w:rsidR="00FA19B4" w:rsidRDefault="00FA19B4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</w:p>
          <w:p w14:paraId="4DA085EF" w14:textId="224166CA" w:rsidR="009A0F85" w:rsidRPr="00D4735C" w:rsidRDefault="009A0F85" w:rsidP="009A0F85">
            <w:pPr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9A0F85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5 Presenza di tecnologie e soluzioni abilitanti per la </w:t>
            </w:r>
            <w:r w:rsidRPr="00D4735C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modularità di impianto per favorire l’integrazione futura di nuovi moduli funzionali</w:t>
            </w:r>
          </w:p>
          <w:p w14:paraId="51D26A19" w14:textId="67D30321" w:rsidR="00E62C61" w:rsidRPr="00D4735C" w:rsidRDefault="00E62C61" w:rsidP="00E62C61">
            <w:pPr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a)</w:t>
            </w:r>
            <w:r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 xml:space="preserve">Attrezzatura </w:t>
            </w:r>
            <w:r w:rsidR="00D4735C"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senza soluzioni abilitanti per la modularità di </w:t>
            </w:r>
            <w:bookmarkStart w:id="2" w:name="_GoBack"/>
            <w:bookmarkEnd w:id="2"/>
            <w:r w:rsidR="00D4735C"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impianto</w:t>
            </w:r>
          </w:p>
          <w:p w14:paraId="32F0E85A" w14:textId="77777777" w:rsidR="009A0F85" w:rsidRDefault="00E62C61" w:rsidP="00E62C61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b)</w:t>
            </w:r>
            <w:r w:rsidRPr="00D4735C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ab/>
              <w:t>Attrezzatura con soluzioni abilitanti per la modularità di impianto</w:t>
            </w:r>
          </w:p>
          <w:p w14:paraId="4BDA058A" w14:textId="24D8F9B9" w:rsidR="00FA19B4" w:rsidRPr="00D71A62" w:rsidRDefault="00FA19B4" w:rsidP="00E62C61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F3EF" w14:textId="77777777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l’opzione offerta</w:t>
            </w:r>
          </w:p>
          <w:p w14:paraId="06136963" w14:textId="77777777" w:rsidR="009A0F85" w:rsidRPr="00D71A62" w:rsidRDefault="009A0F85" w:rsidP="009A0F85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9A0F85" w:rsidRPr="004A14AA" w14:paraId="5A64D46D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C28B" w14:textId="77777777" w:rsidR="00FA19B4" w:rsidRDefault="00FA19B4" w:rsidP="00E62C61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  <w:p w14:paraId="20497B3F" w14:textId="5F0E9CBC" w:rsidR="00E62C61" w:rsidRDefault="00E62C61" w:rsidP="00E62C61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6 Flessibilità/</w:t>
            </w:r>
            <w:proofErr w:type="spellStart"/>
            <w:r w:rsidRPr="00E62C61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riconfigurabilità</w:t>
            </w:r>
            <w:proofErr w:type="spellEnd"/>
            <w:r w:rsidRPr="00E62C61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 xml:space="preserve"> della attrezzatura per favorire la capacità di manipolare altri tipi di celle ioni litio</w:t>
            </w:r>
          </w:p>
          <w:p w14:paraId="171A802B" w14:textId="77777777" w:rsidR="00E62C61" w:rsidRPr="00E62C61" w:rsidRDefault="00E62C61" w:rsidP="00E62C61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</w:t>
            </w: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 xml:space="preserve">Attrezzatura non in grado di </w:t>
            </w:r>
            <w:proofErr w:type="spellStart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disassemblare</w:t>
            </w:r>
            <w:proofErr w:type="spellEnd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 xml:space="preserve"> moduli batteria basati su celle cilindriche e </w:t>
            </w:r>
            <w:proofErr w:type="spellStart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pouch</w:t>
            </w:r>
            <w:proofErr w:type="spellEnd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 xml:space="preserve"> **</w:t>
            </w:r>
          </w:p>
          <w:p w14:paraId="6EB3C23E" w14:textId="6B98AAB0" w:rsidR="00E62C61" w:rsidRDefault="00E62C61" w:rsidP="00E62C61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</w:t>
            </w: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 xml:space="preserve">Attrezzatura in grado di </w:t>
            </w:r>
            <w:proofErr w:type="spellStart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disassemblare</w:t>
            </w:r>
            <w:proofErr w:type="spellEnd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 xml:space="preserve"> moduli batteria basati su celle cilindriche e </w:t>
            </w:r>
            <w:proofErr w:type="spellStart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pouch</w:t>
            </w:r>
            <w:proofErr w:type="spellEnd"/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 xml:space="preserve"> **</w:t>
            </w:r>
          </w:p>
          <w:p w14:paraId="5AD91015" w14:textId="77777777" w:rsidR="00FA19B4" w:rsidRPr="00FA19B4" w:rsidRDefault="00FA19B4" w:rsidP="00E62C61">
            <w:pPr>
              <w:jc w:val="left"/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</w:pPr>
          </w:p>
          <w:p w14:paraId="6514D768" w14:textId="77777777" w:rsidR="009A0F85" w:rsidRDefault="00E62C61" w:rsidP="00FA19B4">
            <w:pPr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 xml:space="preserve">** considerare per la manipolazione che le celle tipo </w:t>
            </w:r>
            <w:proofErr w:type="spellStart"/>
            <w:r w:rsidRPr="00E62C61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>pouch</w:t>
            </w:r>
            <w:proofErr w:type="spellEnd"/>
            <w:r w:rsidRPr="00E62C61"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  <w:t xml:space="preserve"> hanno involucro esterno morbido</w:t>
            </w:r>
          </w:p>
          <w:p w14:paraId="7E245EDD" w14:textId="61F73E10" w:rsidR="00FA19B4" w:rsidRPr="00E62C61" w:rsidRDefault="00FA19B4" w:rsidP="00FA19B4">
            <w:pPr>
              <w:rPr>
                <w:rFonts w:ascii="Cambria" w:eastAsia="MS Mincho" w:hAnsi="Cambria" w:cs="Calibri"/>
                <w:sz w:val="18"/>
                <w:szCs w:val="18"/>
                <w:lang w:val="x-none"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2E18" w14:textId="2E515843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</w:t>
            </w:r>
          </w:p>
          <w:p w14:paraId="17991946" w14:textId="77777777" w:rsidR="009A0F85" w:rsidRPr="00D71A62" w:rsidRDefault="009A0F85" w:rsidP="009A0F8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54584BE8" w14:textId="77777777" w:rsidR="009A0F85" w:rsidRPr="00D71A62" w:rsidRDefault="009A0F85" w:rsidP="009A0F85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9A0F85" w:rsidRPr="004A14AA" w14:paraId="0F677560" w14:textId="77777777" w:rsidTr="009A0F85">
        <w:trPr>
          <w:trHeight w:val="20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0D66" w14:textId="77777777" w:rsidR="00FA19B4" w:rsidRDefault="00FA19B4" w:rsidP="00E62C61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  <w:p w14:paraId="76A77D0E" w14:textId="123FEAD1" w:rsidR="00E62C61" w:rsidRDefault="00E62C61" w:rsidP="00E62C61">
            <w:pPr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7 Presenza nella “prima stazione” di sensori ottici adibiti al riconoscimento automatico delle geometrie fondamentali del prodotto, comprensivi di software di acquisizione</w:t>
            </w:r>
          </w:p>
          <w:p w14:paraId="3AF62CDD" w14:textId="77777777" w:rsidR="00E62C61" w:rsidRPr="00E62C61" w:rsidRDefault="00E62C61" w:rsidP="00E62C61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</w:t>
            </w: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>Assenza sensori</w:t>
            </w:r>
          </w:p>
          <w:p w14:paraId="544B7EFF" w14:textId="77777777" w:rsidR="009A0F85" w:rsidRDefault="00E62C61" w:rsidP="00E62C61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</w:t>
            </w:r>
            <w:r w:rsidRPr="00E62C61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ab/>
              <w:t>Presenza sensori</w:t>
            </w:r>
          </w:p>
          <w:p w14:paraId="2B7212F4" w14:textId="1DAEC1BF" w:rsidR="00FA19B4" w:rsidRPr="00D71A62" w:rsidRDefault="00FA19B4" w:rsidP="00E62C61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D815" w14:textId="2BDAD2B1" w:rsidR="009A0F85" w:rsidRPr="00D71A62" w:rsidRDefault="009A0F85" w:rsidP="009A0F85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Indicare l’opzione offerta </w:t>
            </w:r>
          </w:p>
        </w:tc>
      </w:tr>
    </w:tbl>
    <w:p w14:paraId="455A173F" w14:textId="77777777" w:rsidR="008B6E3D" w:rsidRPr="004A14AA" w:rsidRDefault="008B6E3D" w:rsidP="008B6E3D">
      <w:pPr>
        <w:widowControl w:val="0"/>
        <w:rPr>
          <w:rFonts w:ascii="Cambria" w:eastAsia="MS Mincho" w:hAnsi="Cambria" w:cs="Calibri"/>
          <w:lang w:val="x-none" w:eastAsia="x-none"/>
        </w:rPr>
      </w:pPr>
    </w:p>
    <w:p w14:paraId="43C73026" w14:textId="77777777" w:rsidR="00C0669F" w:rsidRPr="004A14AA" w:rsidRDefault="00C0669F" w:rsidP="009A43CF">
      <w:pPr>
        <w:suppressAutoHyphens w:val="0"/>
        <w:jc w:val="left"/>
        <w:rPr>
          <w:rFonts w:ascii="Cambria" w:hAnsi="Cambria"/>
        </w:rPr>
      </w:pPr>
    </w:p>
    <w:sectPr w:rsidR="00C0669F" w:rsidRPr="004A14AA" w:rsidSect="00A22D62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55D4CCBF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163F10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EF43F" w14:textId="13474613" w:rsidR="00860EDF" w:rsidRDefault="00860EDF">
    <w:pPr>
      <w:pStyle w:val="Intestazione"/>
    </w:pPr>
    <w:r>
      <w:rPr>
        <w:noProof/>
        <w:lang w:eastAsia="it-IT"/>
      </w:rPr>
      <w:drawing>
        <wp:inline distT="0" distB="0" distL="0" distR="0" wp14:anchorId="67BA4A43" wp14:editId="70BFEBA4">
          <wp:extent cx="825335" cy="607512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335" cy="607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3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6" w15:restartNumberingAfterBreak="0">
    <w:nsid w:val="54DD75C3"/>
    <w:multiLevelType w:val="hybridMultilevel"/>
    <w:tmpl w:val="7D3E5B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7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3F10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0F85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4735C"/>
    <w:rsid w:val="00D609CF"/>
    <w:rsid w:val="00D614AF"/>
    <w:rsid w:val="00D651FB"/>
    <w:rsid w:val="00D70762"/>
    <w:rsid w:val="00D71A62"/>
    <w:rsid w:val="00D75BB8"/>
    <w:rsid w:val="00DC7361"/>
    <w:rsid w:val="00DE7AB4"/>
    <w:rsid w:val="00DF30A7"/>
    <w:rsid w:val="00E17057"/>
    <w:rsid w:val="00E225DC"/>
    <w:rsid w:val="00E366F6"/>
    <w:rsid w:val="00E36A6E"/>
    <w:rsid w:val="00E5070D"/>
    <w:rsid w:val="00E62C61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19B4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9</cp:revision>
  <cp:lastPrinted>2019-02-15T09:28:00Z</cp:lastPrinted>
  <dcterms:created xsi:type="dcterms:W3CDTF">2022-02-14T09:57:00Z</dcterms:created>
  <dcterms:modified xsi:type="dcterms:W3CDTF">2022-06-17T11:47:00Z</dcterms:modified>
</cp:coreProperties>
</file>