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FB7D6" w14:textId="77777777" w:rsidR="005674AC" w:rsidRPr="005674AC" w:rsidRDefault="005674AC" w:rsidP="005674AC">
      <w:pPr>
        <w:rPr>
          <w:rFonts w:ascii="Cambria" w:hAnsi="Cambria"/>
          <w:b/>
          <w:sz w:val="20"/>
          <w:szCs w:val="20"/>
        </w:rPr>
      </w:pPr>
      <w:r w:rsidRPr="005674AC">
        <w:rPr>
          <w:rFonts w:ascii="Cambria" w:hAnsi="Cambria"/>
          <w:b/>
          <w:sz w:val="20"/>
          <w:szCs w:val="20"/>
        </w:rPr>
        <w:t xml:space="preserve">PROCEDURA NEGOZIATA SENZA PREVIA PUBBLICAZIONE DI BANDO DI GARA </w:t>
      </w:r>
    </w:p>
    <w:p w14:paraId="77DC7590" w14:textId="77777777" w:rsidR="005674AC" w:rsidRPr="005674AC" w:rsidRDefault="005674AC" w:rsidP="005674AC">
      <w:pPr>
        <w:rPr>
          <w:rFonts w:ascii="Cambria" w:hAnsi="Cambria"/>
          <w:b/>
          <w:sz w:val="20"/>
          <w:szCs w:val="20"/>
        </w:rPr>
      </w:pPr>
      <w:r w:rsidRPr="005674AC">
        <w:rPr>
          <w:rFonts w:ascii="Cambria" w:hAnsi="Cambria"/>
          <w:b/>
          <w:sz w:val="20"/>
          <w:szCs w:val="20"/>
        </w:rPr>
        <w:t xml:space="preserve">AI SENSI DELL’ART. 63, COMMA 3, LETT. B) D.LGS. 50/2016 PER LA </w:t>
      </w:r>
    </w:p>
    <w:p w14:paraId="5F9719EF" w14:textId="2284F67B" w:rsidR="005674AC" w:rsidRPr="005674AC" w:rsidRDefault="005674AC" w:rsidP="005674AC">
      <w:pPr>
        <w:rPr>
          <w:rFonts w:ascii="Cambria" w:hAnsi="Cambria"/>
          <w:b/>
          <w:sz w:val="20"/>
          <w:szCs w:val="20"/>
        </w:rPr>
      </w:pPr>
      <w:r w:rsidRPr="005674AC">
        <w:rPr>
          <w:rFonts w:ascii="Cambria" w:hAnsi="Cambria"/>
          <w:b/>
          <w:sz w:val="20"/>
          <w:szCs w:val="20"/>
        </w:rPr>
        <w:t xml:space="preserve">FORNITURA DI UN SISTEMA LASER OPO (OPTICAL PARAMETRIC OSCILLATOR) AD IMPULSI ULTRABREVI PER IL DIPARTIMENTO DI FISICA DEL POLITECNICO DI MILANO </w:t>
      </w:r>
      <w:bookmarkStart w:id="0" w:name="_GoBack"/>
      <w:bookmarkEnd w:id="0"/>
      <w:r w:rsidRPr="007343C5">
        <w:rPr>
          <w:rFonts w:ascii="Cambria" w:hAnsi="Cambria"/>
          <w:b/>
          <w:sz w:val="20"/>
          <w:szCs w:val="20"/>
        </w:rPr>
        <w:t xml:space="preserve">– CIG </w:t>
      </w:r>
      <w:r w:rsidR="007343C5" w:rsidRPr="007343C5">
        <w:rPr>
          <w:rFonts w:ascii="Cambria" w:hAnsi="Cambria"/>
          <w:b/>
          <w:sz w:val="20"/>
          <w:szCs w:val="20"/>
        </w:rPr>
        <w:t>8783600804</w:t>
      </w:r>
    </w:p>
    <w:p w14:paraId="7D0B5835" w14:textId="3E02C9C0" w:rsidR="005674AC" w:rsidRDefault="002834CD" w:rsidP="005674AC">
      <w:pPr>
        <w:rPr>
          <w:rFonts w:ascii="Cambria" w:hAnsi="Cambria"/>
          <w:b/>
          <w:sz w:val="20"/>
          <w:szCs w:val="20"/>
        </w:rPr>
      </w:pPr>
      <w:r>
        <w:rPr>
          <w:rFonts w:ascii="Cambria" w:hAnsi="Cambria"/>
          <w:b/>
          <w:sz w:val="20"/>
          <w:szCs w:val="20"/>
        </w:rPr>
        <w:t xml:space="preserve">CUP: </w:t>
      </w:r>
      <w:r w:rsidRPr="0031552E">
        <w:rPr>
          <w:rFonts w:ascii="Cambria" w:hAnsi="Cambria"/>
          <w:b/>
          <w:sz w:val="20"/>
          <w:szCs w:val="20"/>
        </w:rPr>
        <w:t>D49C21000260006</w:t>
      </w:r>
    </w:p>
    <w:p w14:paraId="0F7058EC" w14:textId="77777777" w:rsidR="00085048" w:rsidRDefault="00085048" w:rsidP="005674AC">
      <w:pPr>
        <w:rPr>
          <w:rFonts w:ascii="Cambria" w:hAnsi="Cambria"/>
          <w:b/>
          <w:sz w:val="20"/>
          <w:szCs w:val="20"/>
        </w:rPr>
      </w:pPr>
    </w:p>
    <w:p w14:paraId="4C576034" w14:textId="33E76C0D" w:rsidR="005F35AB" w:rsidRPr="00EF5E60" w:rsidRDefault="00001AED" w:rsidP="005674AC">
      <w:pPr>
        <w:rPr>
          <w:rFonts w:ascii="Cambria" w:hAnsi="Cambria"/>
          <w:b/>
          <w:sz w:val="20"/>
          <w:szCs w:val="20"/>
        </w:rPr>
      </w:pPr>
      <w:r w:rsidRPr="00EF5E60">
        <w:rPr>
          <w:rFonts w:ascii="Cambria" w:hAnsi="Cambria"/>
          <w:b/>
          <w:sz w:val="20"/>
          <w:szCs w:val="20"/>
        </w:rPr>
        <w:t xml:space="preserve">ALLEGATO </w:t>
      </w:r>
      <w:r w:rsidR="000D72E6">
        <w:rPr>
          <w:rFonts w:ascii="Cambria" w:hAnsi="Cambria"/>
          <w:b/>
          <w:sz w:val="20"/>
          <w:szCs w:val="20"/>
        </w:rPr>
        <w:t>E</w:t>
      </w:r>
      <w:r w:rsidR="00EF5E60" w:rsidRPr="00EF5E60">
        <w:rPr>
          <w:rFonts w:ascii="Cambria" w:hAnsi="Cambria"/>
          <w:b/>
          <w:sz w:val="20"/>
          <w:szCs w:val="20"/>
        </w:rPr>
        <w:t xml:space="preserve"> – </w:t>
      </w:r>
      <w:r w:rsidR="00051CBA">
        <w:rPr>
          <w:rFonts w:ascii="Cambria" w:hAnsi="Cambria"/>
          <w:b/>
          <w:sz w:val="20"/>
          <w:szCs w:val="20"/>
        </w:rPr>
        <w:t>REQUISITI MINIMI INDEROGABILI</w:t>
      </w:r>
    </w:p>
    <w:p w14:paraId="121E9045" w14:textId="39915BE4" w:rsidR="00001AED" w:rsidRPr="00EF5E60" w:rsidRDefault="00001AED" w:rsidP="00346C34">
      <w:pPr>
        <w:rPr>
          <w:rFonts w:ascii="Cambria" w:hAnsi="Cambria"/>
          <w:sz w:val="20"/>
          <w:szCs w:val="20"/>
        </w:rPr>
      </w:pPr>
    </w:p>
    <w:tbl>
      <w:tblPr>
        <w:tblStyle w:val="Grigliatabella"/>
        <w:tblW w:w="11057" w:type="dxa"/>
        <w:tblInd w:w="-714" w:type="dxa"/>
        <w:tblLook w:val="04A0" w:firstRow="1" w:lastRow="0" w:firstColumn="1" w:lastColumn="0" w:noHBand="0" w:noVBand="1"/>
      </w:tblPr>
      <w:tblGrid>
        <w:gridCol w:w="6193"/>
        <w:gridCol w:w="4864"/>
      </w:tblGrid>
      <w:tr w:rsidR="00001AED" w:rsidRPr="00EF5E60" w14:paraId="23AEA904" w14:textId="56001A84" w:rsidTr="00AE0D44">
        <w:trPr>
          <w:trHeight w:val="1610"/>
        </w:trPr>
        <w:tc>
          <w:tcPr>
            <w:tcW w:w="6193" w:type="dxa"/>
            <w:vAlign w:val="center"/>
          </w:tcPr>
          <w:p w14:paraId="6DBA6B2E" w14:textId="56387E4D" w:rsidR="00001AED" w:rsidRPr="00EF5E60" w:rsidRDefault="00001AED" w:rsidP="007A6150">
            <w:pPr>
              <w:autoSpaceDE w:val="0"/>
              <w:autoSpaceDN w:val="0"/>
              <w:adjustRightInd w:val="0"/>
              <w:spacing w:line="276" w:lineRule="auto"/>
              <w:jc w:val="left"/>
              <w:rPr>
                <w:rFonts w:ascii="Cambria" w:hAnsi="Cambria" w:cs="Calibri"/>
                <w:b/>
                <w:color w:val="000000" w:themeColor="text1"/>
                <w:sz w:val="20"/>
                <w:szCs w:val="20"/>
              </w:rPr>
            </w:pPr>
            <w:r w:rsidRPr="00EF5E60">
              <w:rPr>
                <w:rFonts w:ascii="Cambria" w:hAnsi="Cambria" w:cs="Calibri"/>
                <w:b/>
                <w:color w:val="000000" w:themeColor="text1"/>
                <w:sz w:val="20"/>
                <w:szCs w:val="20"/>
              </w:rPr>
              <w:t>CARATTERISTICA MINIMA RICHIESTA</w:t>
            </w:r>
          </w:p>
        </w:tc>
        <w:tc>
          <w:tcPr>
            <w:tcW w:w="4864" w:type="dxa"/>
          </w:tcPr>
          <w:p w14:paraId="35C5F849" w14:textId="77777777" w:rsidR="00001AED" w:rsidRPr="00EF5E60" w:rsidRDefault="00001AED" w:rsidP="00001AED">
            <w:pPr>
              <w:autoSpaceDE w:val="0"/>
              <w:autoSpaceDN w:val="0"/>
              <w:adjustRightInd w:val="0"/>
              <w:spacing w:line="276" w:lineRule="auto"/>
              <w:rPr>
                <w:rFonts w:ascii="Cambria" w:hAnsi="Cambria" w:cs="Calibri"/>
                <w:b/>
                <w:color w:val="000000" w:themeColor="text1"/>
                <w:sz w:val="20"/>
                <w:szCs w:val="20"/>
              </w:rPr>
            </w:pPr>
            <w:r w:rsidRPr="00EF5E60">
              <w:rPr>
                <w:rFonts w:ascii="Cambria" w:hAnsi="Cambria" w:cs="Calibri"/>
                <w:b/>
                <w:color w:val="000000" w:themeColor="text1"/>
                <w:sz w:val="20"/>
                <w:szCs w:val="20"/>
              </w:rPr>
              <w:t xml:space="preserve">CARATTERISTICHE DELL’ATTREZZATURA OFFERTA </w:t>
            </w:r>
          </w:p>
          <w:p w14:paraId="5D062579" w14:textId="130DBF70" w:rsidR="00001AED" w:rsidRPr="00EF5E60" w:rsidRDefault="00001AED" w:rsidP="007A6150">
            <w:pPr>
              <w:autoSpaceDE w:val="0"/>
              <w:autoSpaceDN w:val="0"/>
              <w:adjustRightInd w:val="0"/>
              <w:spacing w:line="276" w:lineRule="auto"/>
              <w:rPr>
                <w:rFonts w:ascii="Cambria" w:hAnsi="Cambria" w:cs="Calibri"/>
                <w:b/>
                <w:color w:val="000000" w:themeColor="text1"/>
                <w:sz w:val="20"/>
                <w:szCs w:val="20"/>
              </w:rPr>
            </w:pPr>
            <w:r w:rsidRPr="00EF5E60">
              <w:rPr>
                <w:rFonts w:ascii="Cambria" w:hAnsi="Cambria" w:cs="Calibri"/>
                <w:color w:val="000000" w:themeColor="text1"/>
                <w:sz w:val="20"/>
                <w:szCs w:val="20"/>
              </w:rPr>
              <w:t xml:space="preserve">Indicare i </w:t>
            </w:r>
            <w:r w:rsidRPr="00FF612C">
              <w:rPr>
                <w:rFonts w:ascii="Cambria" w:hAnsi="Cambria" w:cs="Calibri"/>
                <w:color w:val="000000" w:themeColor="text1"/>
                <w:sz w:val="20"/>
                <w:szCs w:val="20"/>
              </w:rPr>
              <w:t>valori reali specifici delle ca</w:t>
            </w:r>
            <w:r w:rsidR="007A6150">
              <w:rPr>
                <w:rFonts w:ascii="Cambria" w:hAnsi="Cambria" w:cs="Calibri"/>
                <w:color w:val="000000" w:themeColor="text1"/>
                <w:sz w:val="20"/>
                <w:szCs w:val="20"/>
              </w:rPr>
              <w:t xml:space="preserve">ratteristiche dell’attrezzatura. </w:t>
            </w:r>
            <w:r w:rsidRPr="00FF612C">
              <w:rPr>
                <w:rFonts w:ascii="Cambria" w:hAnsi="Cambria" w:cs="Calibri"/>
                <w:color w:val="000000" w:themeColor="text1"/>
                <w:sz w:val="20"/>
                <w:szCs w:val="20"/>
              </w:rPr>
              <w:t>Per i requisiti che non prevedono misure,</w:t>
            </w:r>
            <w:r w:rsidR="00EF5E60" w:rsidRPr="00FF612C">
              <w:rPr>
                <w:rFonts w:ascii="Cambria" w:hAnsi="Cambria" w:cs="Calibri"/>
                <w:color w:val="000000" w:themeColor="text1"/>
                <w:sz w:val="20"/>
                <w:szCs w:val="20"/>
              </w:rPr>
              <w:t xml:space="preserve"> </w:t>
            </w:r>
            <w:r w:rsidRPr="00FF612C">
              <w:rPr>
                <w:rFonts w:ascii="Cambria" w:hAnsi="Cambria" w:cs="Calibri"/>
                <w:color w:val="000000" w:themeColor="text1"/>
                <w:sz w:val="20"/>
                <w:szCs w:val="20"/>
              </w:rPr>
              <w:t>confermare la presenza della caratteristica</w:t>
            </w:r>
            <w:r w:rsidR="00EF5E60" w:rsidRPr="00FF612C">
              <w:rPr>
                <w:rFonts w:ascii="Cambria" w:hAnsi="Cambria" w:cs="Calibri"/>
                <w:color w:val="000000" w:themeColor="text1"/>
                <w:sz w:val="20"/>
                <w:szCs w:val="20"/>
              </w:rPr>
              <w:t xml:space="preserve"> </w:t>
            </w:r>
            <w:r w:rsidRPr="00FF612C">
              <w:rPr>
                <w:rFonts w:ascii="Cambria" w:hAnsi="Cambria" w:cs="Calibri"/>
                <w:color w:val="000000" w:themeColor="text1"/>
                <w:sz w:val="20"/>
                <w:szCs w:val="20"/>
              </w:rPr>
              <w:t>richiesta, ove possibile specificando modalità o dettagli dell’attrezzatura che rispondono al requisito</w:t>
            </w:r>
            <w:r w:rsidR="00EF5E60" w:rsidRPr="00FF612C">
              <w:rPr>
                <w:rFonts w:ascii="Cambria" w:hAnsi="Cambria" w:cs="Calibri"/>
                <w:color w:val="000000" w:themeColor="text1"/>
                <w:sz w:val="20"/>
                <w:szCs w:val="20"/>
              </w:rPr>
              <w:t>.</w:t>
            </w:r>
          </w:p>
        </w:tc>
      </w:tr>
      <w:tr w:rsidR="00AE0D44" w:rsidRPr="00EF5E60" w14:paraId="6D1F21C8" w14:textId="77777777" w:rsidTr="00051CBA">
        <w:trPr>
          <w:trHeight w:val="549"/>
        </w:trPr>
        <w:tc>
          <w:tcPr>
            <w:tcW w:w="6193" w:type="dxa"/>
            <w:vAlign w:val="center"/>
          </w:tcPr>
          <w:p w14:paraId="3D401CBE" w14:textId="5614B442" w:rsidR="00AE0D44" w:rsidRPr="007A6150"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Tre fasci ottici ad impulsi utrabrevi (</w:t>
            </w:r>
            <w:r w:rsidRPr="00A12FB9">
              <w:rPr>
                <w:rFonts w:ascii="Cambria" w:hAnsi="Cambria" w:cs="Calibri"/>
                <w:color w:val="000000" w:themeColor="text1"/>
                <w:sz w:val="20"/>
                <w:szCs w:val="20"/>
              </w:rPr>
              <w:t>2 fasci generati nel nuovo dispositivo (signal e idler) + 1 fascio estratto dalla sorgente di pompa Chameleon Ultra-II</w:t>
            </w:r>
            <w:r>
              <w:rPr>
                <w:rFonts w:ascii="Cambria" w:hAnsi="Cambria" w:cs="Calibri"/>
                <w:color w:val="000000" w:themeColor="text1"/>
                <w:sz w:val="20"/>
                <w:szCs w:val="20"/>
              </w:rPr>
              <w:t>)</w:t>
            </w:r>
          </w:p>
        </w:tc>
        <w:tc>
          <w:tcPr>
            <w:tcW w:w="4864" w:type="dxa"/>
          </w:tcPr>
          <w:p w14:paraId="5F9B8A8D"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19CC01F2" w14:textId="77777777" w:rsidTr="00051CBA">
        <w:trPr>
          <w:trHeight w:val="549"/>
        </w:trPr>
        <w:tc>
          <w:tcPr>
            <w:tcW w:w="6193" w:type="dxa"/>
            <w:vAlign w:val="center"/>
          </w:tcPr>
          <w:p w14:paraId="097DFABF" w14:textId="387A4E15" w:rsidR="00AE0D44" w:rsidRPr="007A6150"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Fasci ottici accordabili indipendentemente </w:t>
            </w:r>
            <w:r w:rsidRPr="00A12FB9">
              <w:rPr>
                <w:rFonts w:ascii="Cambria" w:hAnsi="Cambria" w:cs="Calibri"/>
                <w:color w:val="000000" w:themeColor="text1"/>
                <w:sz w:val="20"/>
                <w:szCs w:val="20"/>
              </w:rPr>
              <w:t>e simultanea</w:t>
            </w:r>
            <w:r>
              <w:rPr>
                <w:rFonts w:ascii="Cambria" w:hAnsi="Cambria" w:cs="Calibri"/>
                <w:color w:val="000000" w:themeColor="text1"/>
                <w:sz w:val="20"/>
                <w:szCs w:val="20"/>
              </w:rPr>
              <w:t>mente</w:t>
            </w:r>
            <w:r w:rsidRPr="00A12FB9">
              <w:rPr>
                <w:rFonts w:ascii="Cambria" w:hAnsi="Cambria" w:cs="Calibri"/>
                <w:color w:val="000000" w:themeColor="text1"/>
                <w:sz w:val="20"/>
                <w:szCs w:val="20"/>
              </w:rPr>
              <w:t xml:space="preserve"> </w:t>
            </w:r>
            <w:r>
              <w:rPr>
                <w:rFonts w:ascii="Cambria" w:hAnsi="Cambria" w:cs="Calibri"/>
                <w:color w:val="000000" w:themeColor="text1"/>
                <w:sz w:val="20"/>
                <w:szCs w:val="20"/>
              </w:rPr>
              <w:t>in</w:t>
            </w:r>
            <w:r w:rsidRPr="00A12FB9">
              <w:rPr>
                <w:rFonts w:ascii="Cambria" w:hAnsi="Cambria" w:cs="Calibri"/>
                <w:color w:val="000000" w:themeColor="text1"/>
                <w:sz w:val="20"/>
                <w:szCs w:val="20"/>
              </w:rPr>
              <w:t xml:space="preserve"> lunghezza d'onda</w:t>
            </w:r>
          </w:p>
        </w:tc>
        <w:tc>
          <w:tcPr>
            <w:tcW w:w="4864" w:type="dxa"/>
          </w:tcPr>
          <w:p w14:paraId="41093892"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A12FB9" w14:paraId="2DD1E72B" w14:textId="77777777" w:rsidTr="00051CBA">
        <w:trPr>
          <w:trHeight w:val="549"/>
        </w:trPr>
        <w:tc>
          <w:tcPr>
            <w:tcW w:w="6193" w:type="dxa"/>
            <w:vAlign w:val="center"/>
          </w:tcPr>
          <w:p w14:paraId="078C1995" w14:textId="2D47A6FC" w:rsidR="00AE0D44" w:rsidRPr="00A12FB9"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Intervallo di accordabilità della lunghezza d’onda della pompa tra 740 nm e 880 nm</w:t>
            </w:r>
          </w:p>
        </w:tc>
        <w:tc>
          <w:tcPr>
            <w:tcW w:w="4864" w:type="dxa"/>
          </w:tcPr>
          <w:p w14:paraId="24BE2659" w14:textId="77777777" w:rsidR="00AE0D44" w:rsidRPr="00A12FB9"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A12FB9" w14:paraId="186FD515" w14:textId="77777777" w:rsidTr="00051CBA">
        <w:trPr>
          <w:trHeight w:val="549"/>
        </w:trPr>
        <w:tc>
          <w:tcPr>
            <w:tcW w:w="6193" w:type="dxa"/>
            <w:vAlign w:val="center"/>
          </w:tcPr>
          <w:p w14:paraId="7504965C" w14:textId="2FC3A350" w:rsidR="00AE0D44" w:rsidRPr="00A12FB9"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Intervallo di accordabilità della lunghezza d’onda del fascio signal tra 1000 nm e 1600 nm</w:t>
            </w:r>
          </w:p>
        </w:tc>
        <w:tc>
          <w:tcPr>
            <w:tcW w:w="4864" w:type="dxa"/>
          </w:tcPr>
          <w:p w14:paraId="4C09362A" w14:textId="77777777" w:rsidR="00AE0D44" w:rsidRPr="00A12FB9"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4FD4658F" w14:textId="77777777" w:rsidTr="00051CBA">
        <w:trPr>
          <w:trHeight w:val="549"/>
        </w:trPr>
        <w:tc>
          <w:tcPr>
            <w:tcW w:w="6193" w:type="dxa"/>
            <w:vAlign w:val="center"/>
          </w:tcPr>
          <w:p w14:paraId="7483455D" w14:textId="30B7C9D4" w:rsidR="00AE0D44" w:rsidRPr="007A6150"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Intervallo di accordabilità della lunghezza d’onda del fascio idler tra 1750 nm e 4000 nm</w:t>
            </w:r>
          </w:p>
        </w:tc>
        <w:tc>
          <w:tcPr>
            <w:tcW w:w="4864" w:type="dxa"/>
          </w:tcPr>
          <w:p w14:paraId="6B08E8B5"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40B8D10F" w14:textId="77777777" w:rsidTr="00051CBA">
        <w:trPr>
          <w:trHeight w:val="549"/>
        </w:trPr>
        <w:tc>
          <w:tcPr>
            <w:tcW w:w="6193" w:type="dxa"/>
            <w:vAlign w:val="center"/>
          </w:tcPr>
          <w:p w14:paraId="3C681E7A" w14:textId="36275653"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sidRPr="00A12FB9">
              <w:rPr>
                <w:rFonts w:ascii="Cambria" w:hAnsi="Cambria" w:cs="Calibri"/>
                <w:color w:val="000000" w:themeColor="text1"/>
                <w:sz w:val="20"/>
                <w:szCs w:val="20"/>
              </w:rPr>
              <w:t>Dotazione di porte RS-232 e USB per la comunicazione con l’interfaccia hardware di laboratorio</w:t>
            </w:r>
          </w:p>
        </w:tc>
        <w:tc>
          <w:tcPr>
            <w:tcW w:w="4864" w:type="dxa"/>
          </w:tcPr>
          <w:p w14:paraId="0165FD73"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5C9334CF" w14:textId="77777777" w:rsidTr="00051CBA">
        <w:trPr>
          <w:trHeight w:val="549"/>
        </w:trPr>
        <w:tc>
          <w:tcPr>
            <w:tcW w:w="6193" w:type="dxa"/>
            <w:vAlign w:val="center"/>
          </w:tcPr>
          <w:p w14:paraId="56BCBD2F" w14:textId="6431038D"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sidRPr="00A12FB9">
              <w:rPr>
                <w:rFonts w:ascii="Cambria" w:hAnsi="Cambria" w:cs="Calibri"/>
                <w:color w:val="000000" w:themeColor="text1"/>
                <w:sz w:val="20"/>
                <w:szCs w:val="20"/>
              </w:rPr>
              <w:t>Sistema di recupero automatico dell'allineamento durante le operazioni di tuning senza necessità di intervento al suo interno da parte dell'utente</w:t>
            </w:r>
          </w:p>
        </w:tc>
        <w:tc>
          <w:tcPr>
            <w:tcW w:w="4864" w:type="dxa"/>
          </w:tcPr>
          <w:p w14:paraId="21B29F3A"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730D2F47" w14:textId="77777777" w:rsidTr="00051CBA">
        <w:trPr>
          <w:trHeight w:val="549"/>
        </w:trPr>
        <w:tc>
          <w:tcPr>
            <w:tcW w:w="6193" w:type="dxa"/>
            <w:vAlign w:val="center"/>
          </w:tcPr>
          <w:p w14:paraId="1E7EA40E" w14:textId="66765D78"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sidRPr="00A12FB9">
              <w:rPr>
                <w:rFonts w:ascii="Cambria" w:hAnsi="Cambria" w:cs="Calibri"/>
                <w:color w:val="000000" w:themeColor="text1"/>
                <w:sz w:val="20"/>
                <w:szCs w:val="20"/>
              </w:rPr>
              <w:t>Sistema di ricircolo dell'aria per garantire prestazioni stabili di funzionamento a lunghezze d’onda &gt;1350 nm e su tutte le bande di assorbimento del vapore acqueo</w:t>
            </w:r>
          </w:p>
        </w:tc>
        <w:tc>
          <w:tcPr>
            <w:tcW w:w="4864" w:type="dxa"/>
          </w:tcPr>
          <w:p w14:paraId="7B688041"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2333B688" w14:textId="77777777" w:rsidTr="00051CBA">
        <w:trPr>
          <w:trHeight w:val="549"/>
        </w:trPr>
        <w:tc>
          <w:tcPr>
            <w:tcW w:w="6193" w:type="dxa"/>
            <w:vAlign w:val="center"/>
          </w:tcPr>
          <w:p w14:paraId="5B801F37" w14:textId="66757B7E"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sidRPr="00A12FB9">
              <w:rPr>
                <w:rFonts w:ascii="Cambria" w:hAnsi="Cambria" w:cs="Calibri"/>
                <w:color w:val="000000" w:themeColor="text1"/>
                <w:sz w:val="20"/>
                <w:szCs w:val="20"/>
              </w:rPr>
              <w:t>Possibilità di bypassare l’apparato per recuperare almeno 90% del fascio laser di pompa del Chameleon Ultra-II</w:t>
            </w:r>
          </w:p>
        </w:tc>
        <w:tc>
          <w:tcPr>
            <w:tcW w:w="4864" w:type="dxa"/>
          </w:tcPr>
          <w:p w14:paraId="5D3A5DF7"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4FEB1635" w14:textId="77777777" w:rsidTr="00051CBA">
        <w:trPr>
          <w:trHeight w:val="549"/>
        </w:trPr>
        <w:tc>
          <w:tcPr>
            <w:tcW w:w="6193" w:type="dxa"/>
            <w:vAlign w:val="center"/>
          </w:tcPr>
          <w:p w14:paraId="68D4ED1C" w14:textId="55564498"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Quando operato a tre fasci simultanei, </w:t>
            </w:r>
            <w:r w:rsidRPr="00A12FB9">
              <w:rPr>
                <w:rFonts w:ascii="Cambria" w:hAnsi="Cambria" w:cs="Calibri"/>
                <w:color w:val="000000" w:themeColor="text1"/>
                <w:sz w:val="20"/>
                <w:szCs w:val="20"/>
              </w:rPr>
              <w:t>accesso ad almeno il 10% del fascio laser di pompa Chameleon Ultra-II simultaneamente all'uscita dei segnali IR dell’OPO, durante la fase di lavoro dell’apparato.</w:t>
            </w:r>
          </w:p>
        </w:tc>
        <w:tc>
          <w:tcPr>
            <w:tcW w:w="4864" w:type="dxa"/>
          </w:tcPr>
          <w:p w14:paraId="4B99374B"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242B99FC" w14:textId="77777777" w:rsidTr="00051CBA">
        <w:trPr>
          <w:trHeight w:val="549"/>
        </w:trPr>
        <w:tc>
          <w:tcPr>
            <w:tcW w:w="6193" w:type="dxa"/>
            <w:vAlign w:val="center"/>
          </w:tcPr>
          <w:p w14:paraId="6A303B39" w14:textId="151CC3C1"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Potenza media del fascio signal </w:t>
            </w:r>
            <w:r w:rsidRPr="00A12FB9">
              <w:rPr>
                <w:rFonts w:ascii="Cambria" w:hAnsi="Cambria" w:cs="Calibri"/>
                <w:color w:val="000000" w:themeColor="text1"/>
                <w:sz w:val="20"/>
                <w:szCs w:val="20"/>
              </w:rPr>
              <w:t>&gt; 700 mW (sul picco di tunabilità e alla massima potenza di pompa)</w:t>
            </w:r>
          </w:p>
        </w:tc>
        <w:tc>
          <w:tcPr>
            <w:tcW w:w="4864" w:type="dxa"/>
          </w:tcPr>
          <w:p w14:paraId="575CF4E3"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0B116382" w14:textId="77777777" w:rsidTr="00051CBA">
        <w:trPr>
          <w:trHeight w:val="549"/>
        </w:trPr>
        <w:tc>
          <w:tcPr>
            <w:tcW w:w="6193" w:type="dxa"/>
            <w:vAlign w:val="center"/>
          </w:tcPr>
          <w:p w14:paraId="0A9375A8" w14:textId="3877553A" w:rsidR="00AE0D44" w:rsidRPr="00BA39E4" w:rsidRDefault="00A12FB9"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Potenza media del fascio idler </w:t>
            </w:r>
            <w:r w:rsidRPr="00A12FB9">
              <w:rPr>
                <w:rFonts w:ascii="Cambria" w:hAnsi="Cambria" w:cs="Calibri"/>
                <w:color w:val="000000" w:themeColor="text1"/>
                <w:sz w:val="20"/>
                <w:szCs w:val="20"/>
              </w:rPr>
              <w:t xml:space="preserve">&gt; </w:t>
            </w:r>
            <w:r w:rsidR="00020005">
              <w:rPr>
                <w:rFonts w:ascii="Cambria" w:hAnsi="Cambria" w:cs="Calibri"/>
                <w:color w:val="000000" w:themeColor="text1"/>
                <w:sz w:val="20"/>
                <w:szCs w:val="20"/>
              </w:rPr>
              <w:t>1</w:t>
            </w:r>
            <w:r w:rsidRPr="00A12FB9">
              <w:rPr>
                <w:rFonts w:ascii="Cambria" w:hAnsi="Cambria" w:cs="Calibri"/>
                <w:color w:val="000000" w:themeColor="text1"/>
                <w:sz w:val="20"/>
                <w:szCs w:val="20"/>
              </w:rPr>
              <w:t>00 mW (sul picco di tunabilità e alla massima potenza di pompa</w:t>
            </w:r>
            <w:r w:rsidR="00020005">
              <w:rPr>
                <w:rFonts w:ascii="Cambria" w:hAnsi="Cambria" w:cs="Calibri"/>
                <w:color w:val="000000" w:themeColor="text1"/>
                <w:sz w:val="20"/>
                <w:szCs w:val="20"/>
              </w:rPr>
              <w:t>)</w:t>
            </w:r>
          </w:p>
        </w:tc>
        <w:tc>
          <w:tcPr>
            <w:tcW w:w="4864" w:type="dxa"/>
          </w:tcPr>
          <w:p w14:paraId="561552AC"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1AA278EF" w14:textId="77777777" w:rsidTr="00051CBA">
        <w:trPr>
          <w:trHeight w:val="549"/>
        </w:trPr>
        <w:tc>
          <w:tcPr>
            <w:tcW w:w="6193" w:type="dxa"/>
            <w:vAlign w:val="center"/>
          </w:tcPr>
          <w:p w14:paraId="45F8A4AE" w14:textId="073EBB10" w:rsidR="00AE0D44" w:rsidRPr="00BF733D" w:rsidRDefault="00020005"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Durata temporale degli impulsi garantita per tutti i fasci </w:t>
            </w:r>
            <w:r w:rsidRPr="00020005">
              <w:rPr>
                <w:rFonts w:ascii="Cambria" w:hAnsi="Cambria" w:cs="Calibri"/>
                <w:color w:val="000000" w:themeColor="text1"/>
                <w:sz w:val="20"/>
                <w:szCs w:val="20"/>
              </w:rPr>
              <w:t>≤ 200 fs</w:t>
            </w:r>
          </w:p>
        </w:tc>
        <w:tc>
          <w:tcPr>
            <w:tcW w:w="4864" w:type="dxa"/>
          </w:tcPr>
          <w:p w14:paraId="6ED27369"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5BCA868B" w14:textId="77777777" w:rsidTr="00051CBA">
        <w:trPr>
          <w:trHeight w:val="549"/>
        </w:trPr>
        <w:tc>
          <w:tcPr>
            <w:tcW w:w="6193" w:type="dxa"/>
            <w:vAlign w:val="center"/>
          </w:tcPr>
          <w:p w14:paraId="6E3C9667" w14:textId="425E9BFD" w:rsidR="00AE0D44" w:rsidRPr="00BF733D" w:rsidRDefault="00020005" w:rsidP="007B3068">
            <w:pPr>
              <w:rPr>
                <w:rFonts w:ascii="Cambria" w:hAnsi="Cambria" w:cs="Calibri"/>
                <w:color w:val="000000" w:themeColor="text1"/>
                <w:sz w:val="20"/>
                <w:szCs w:val="20"/>
              </w:rPr>
            </w:pPr>
            <w:r>
              <w:rPr>
                <w:rFonts w:ascii="Cambria" w:hAnsi="Cambria" w:cs="Calibri"/>
                <w:color w:val="000000" w:themeColor="text1"/>
                <w:sz w:val="20"/>
                <w:szCs w:val="20"/>
              </w:rPr>
              <w:t xml:space="preserve">Frequenza di ripetizione sincronizzata e agganciata in fase al laser sorgente </w:t>
            </w:r>
            <w:r w:rsidRPr="00020005">
              <w:rPr>
                <w:rFonts w:ascii="Cambria" w:hAnsi="Cambria" w:cs="Calibri"/>
                <w:color w:val="000000" w:themeColor="text1"/>
                <w:sz w:val="20"/>
                <w:szCs w:val="20"/>
              </w:rPr>
              <w:t>Chameleon Ultra-II: 79,9876 MHz @ 800nm</w:t>
            </w:r>
          </w:p>
        </w:tc>
        <w:tc>
          <w:tcPr>
            <w:tcW w:w="4864" w:type="dxa"/>
          </w:tcPr>
          <w:p w14:paraId="2562D678"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EF5E60" w14:paraId="750557BC" w14:textId="77777777" w:rsidTr="00051CBA">
        <w:trPr>
          <w:trHeight w:val="549"/>
        </w:trPr>
        <w:tc>
          <w:tcPr>
            <w:tcW w:w="6193" w:type="dxa"/>
            <w:vAlign w:val="center"/>
          </w:tcPr>
          <w:p w14:paraId="5BE902DB" w14:textId="76621457" w:rsidR="00AE0D44" w:rsidRPr="00BF733D" w:rsidRDefault="00020005" w:rsidP="0095048D">
            <w:pPr>
              <w:autoSpaceDE w:val="0"/>
              <w:autoSpaceDN w:val="0"/>
              <w:adjustRightInd w:val="0"/>
              <w:spacing w:line="276" w:lineRule="auto"/>
              <w:rPr>
                <w:rFonts w:ascii="Cambria" w:hAnsi="Cambria" w:cs="Calibri"/>
                <w:color w:val="000000" w:themeColor="text1"/>
                <w:sz w:val="20"/>
                <w:szCs w:val="20"/>
              </w:rPr>
            </w:pPr>
            <w:r w:rsidRPr="00020005">
              <w:rPr>
                <w:rFonts w:ascii="Cambria" w:hAnsi="Cambria" w:cs="Calibri"/>
                <w:color w:val="000000" w:themeColor="text1"/>
                <w:sz w:val="20"/>
                <w:szCs w:val="20"/>
              </w:rPr>
              <w:t>M</w:t>
            </w:r>
            <w:r w:rsidRPr="00020005">
              <w:rPr>
                <w:rFonts w:ascii="Cambria" w:hAnsi="Cambria" w:cs="Calibri"/>
                <w:color w:val="000000" w:themeColor="text1"/>
                <w:sz w:val="20"/>
                <w:szCs w:val="20"/>
                <w:vertAlign w:val="superscript"/>
              </w:rPr>
              <w:t>2</w:t>
            </w:r>
            <w:r w:rsidRPr="00020005">
              <w:rPr>
                <w:rFonts w:ascii="Cambria" w:hAnsi="Cambria" w:cs="Calibri"/>
                <w:color w:val="000000" w:themeColor="text1"/>
                <w:sz w:val="20"/>
                <w:szCs w:val="20"/>
              </w:rPr>
              <w:t xml:space="preserve"> ≤ 1.</w:t>
            </w:r>
            <w:r>
              <w:rPr>
                <w:rFonts w:ascii="Cambria" w:hAnsi="Cambria" w:cs="Calibri"/>
                <w:color w:val="000000" w:themeColor="text1"/>
                <w:sz w:val="20"/>
                <w:szCs w:val="20"/>
              </w:rPr>
              <w:t>2 (qualità del modo spaziale del fascio)</w:t>
            </w:r>
          </w:p>
        </w:tc>
        <w:tc>
          <w:tcPr>
            <w:tcW w:w="4864" w:type="dxa"/>
          </w:tcPr>
          <w:p w14:paraId="151F8386" w14:textId="77777777" w:rsidR="00AE0D44" w:rsidRPr="00EF5E60"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AE0D44" w:rsidRPr="00A12FB9" w14:paraId="5914B748" w14:textId="77777777" w:rsidTr="00051CBA">
        <w:trPr>
          <w:trHeight w:val="549"/>
        </w:trPr>
        <w:tc>
          <w:tcPr>
            <w:tcW w:w="6193" w:type="dxa"/>
            <w:vAlign w:val="center"/>
          </w:tcPr>
          <w:p w14:paraId="7E26DD7F" w14:textId="53270F1D" w:rsidR="00020005" w:rsidRPr="00A12FB9" w:rsidRDefault="00020005"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Diametro dei fasci </w:t>
            </w:r>
            <w:r w:rsidRPr="00020005">
              <w:rPr>
                <w:rFonts w:ascii="Cambria" w:hAnsi="Cambria" w:cs="Calibri"/>
                <w:color w:val="000000" w:themeColor="text1"/>
                <w:sz w:val="20"/>
                <w:szCs w:val="20"/>
              </w:rPr>
              <w:t xml:space="preserve">≤ </w:t>
            </w:r>
            <w:r>
              <w:rPr>
                <w:rFonts w:ascii="Cambria" w:hAnsi="Cambria" w:cs="Calibri"/>
                <w:color w:val="000000" w:themeColor="text1"/>
                <w:sz w:val="20"/>
                <w:szCs w:val="20"/>
              </w:rPr>
              <w:t>2 mm</w:t>
            </w:r>
          </w:p>
        </w:tc>
        <w:tc>
          <w:tcPr>
            <w:tcW w:w="4864" w:type="dxa"/>
          </w:tcPr>
          <w:p w14:paraId="340C5B3B" w14:textId="77777777" w:rsidR="00AE0D44" w:rsidRPr="00A12FB9" w:rsidRDefault="00AE0D44" w:rsidP="00C525CF">
            <w:pPr>
              <w:autoSpaceDE w:val="0"/>
              <w:autoSpaceDN w:val="0"/>
              <w:adjustRightInd w:val="0"/>
              <w:spacing w:line="276" w:lineRule="auto"/>
              <w:rPr>
                <w:rFonts w:ascii="Cambria" w:hAnsi="Cambria" w:cs="Calibri"/>
                <w:b/>
                <w:color w:val="000000" w:themeColor="text1"/>
                <w:sz w:val="20"/>
                <w:szCs w:val="20"/>
              </w:rPr>
            </w:pPr>
          </w:p>
        </w:tc>
      </w:tr>
      <w:tr w:rsidR="00020005" w:rsidRPr="00A12FB9" w14:paraId="5AEE1B71" w14:textId="77777777" w:rsidTr="00051CBA">
        <w:trPr>
          <w:trHeight w:val="549"/>
        </w:trPr>
        <w:tc>
          <w:tcPr>
            <w:tcW w:w="6193" w:type="dxa"/>
            <w:vAlign w:val="center"/>
          </w:tcPr>
          <w:p w14:paraId="3A5708B2" w14:textId="062C5B22" w:rsidR="00020005" w:rsidRDefault="00020005"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lastRenderedPageBreak/>
              <w:t xml:space="preserve">Divergenza del fascio </w:t>
            </w:r>
            <w:r w:rsidRPr="00020005">
              <w:rPr>
                <w:rFonts w:ascii="Cambria" w:hAnsi="Cambria" w:cs="Calibri"/>
                <w:color w:val="000000" w:themeColor="text1"/>
                <w:sz w:val="20"/>
                <w:szCs w:val="20"/>
              </w:rPr>
              <w:t xml:space="preserve">≤ </w:t>
            </w:r>
            <w:r>
              <w:rPr>
                <w:rFonts w:ascii="Cambria" w:hAnsi="Cambria" w:cs="Calibri"/>
                <w:color w:val="000000" w:themeColor="text1"/>
                <w:sz w:val="20"/>
                <w:szCs w:val="20"/>
              </w:rPr>
              <w:t>0.5 mrad</w:t>
            </w:r>
          </w:p>
        </w:tc>
        <w:tc>
          <w:tcPr>
            <w:tcW w:w="4864" w:type="dxa"/>
          </w:tcPr>
          <w:p w14:paraId="37F55C99" w14:textId="77777777" w:rsidR="00020005" w:rsidRPr="00A12FB9" w:rsidRDefault="00020005" w:rsidP="00C525CF">
            <w:pPr>
              <w:autoSpaceDE w:val="0"/>
              <w:autoSpaceDN w:val="0"/>
              <w:adjustRightInd w:val="0"/>
              <w:spacing w:line="276" w:lineRule="auto"/>
              <w:rPr>
                <w:rFonts w:ascii="Cambria" w:hAnsi="Cambria" w:cs="Calibri"/>
                <w:b/>
                <w:color w:val="000000" w:themeColor="text1"/>
                <w:sz w:val="20"/>
                <w:szCs w:val="20"/>
              </w:rPr>
            </w:pPr>
          </w:p>
        </w:tc>
      </w:tr>
      <w:tr w:rsidR="00020005" w:rsidRPr="00A12FB9" w14:paraId="477FA7D2" w14:textId="77777777" w:rsidTr="00051CBA">
        <w:trPr>
          <w:trHeight w:val="549"/>
        </w:trPr>
        <w:tc>
          <w:tcPr>
            <w:tcW w:w="6193" w:type="dxa"/>
            <w:vAlign w:val="center"/>
          </w:tcPr>
          <w:p w14:paraId="07A05BE7" w14:textId="67486288" w:rsidR="00020005" w:rsidRDefault="00020005"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 xml:space="preserve">Larghezza del dispositivo OPO </w:t>
            </w:r>
            <w:r w:rsidRPr="00020005">
              <w:rPr>
                <w:rFonts w:ascii="Cambria" w:hAnsi="Cambria" w:cs="Calibri"/>
                <w:color w:val="000000" w:themeColor="text1"/>
                <w:sz w:val="20"/>
                <w:szCs w:val="20"/>
              </w:rPr>
              <w:t>&lt; 400 mm</w:t>
            </w:r>
          </w:p>
        </w:tc>
        <w:tc>
          <w:tcPr>
            <w:tcW w:w="4864" w:type="dxa"/>
          </w:tcPr>
          <w:p w14:paraId="2DF267AA" w14:textId="77777777" w:rsidR="00020005" w:rsidRPr="00A12FB9" w:rsidRDefault="00020005" w:rsidP="00C525CF">
            <w:pPr>
              <w:autoSpaceDE w:val="0"/>
              <w:autoSpaceDN w:val="0"/>
              <w:adjustRightInd w:val="0"/>
              <w:spacing w:line="276" w:lineRule="auto"/>
              <w:rPr>
                <w:rFonts w:ascii="Cambria" w:hAnsi="Cambria" w:cs="Calibri"/>
                <w:b/>
                <w:color w:val="000000" w:themeColor="text1"/>
                <w:sz w:val="20"/>
                <w:szCs w:val="20"/>
              </w:rPr>
            </w:pPr>
          </w:p>
        </w:tc>
      </w:tr>
      <w:tr w:rsidR="00020005" w:rsidRPr="00A12FB9" w14:paraId="253098BC" w14:textId="77777777" w:rsidTr="00051CBA">
        <w:trPr>
          <w:trHeight w:val="549"/>
        </w:trPr>
        <w:tc>
          <w:tcPr>
            <w:tcW w:w="6193" w:type="dxa"/>
            <w:vAlign w:val="center"/>
          </w:tcPr>
          <w:p w14:paraId="108F33CB" w14:textId="0D0A5ED4" w:rsidR="00020005" w:rsidRDefault="00020005" w:rsidP="0095048D">
            <w:pPr>
              <w:autoSpaceDE w:val="0"/>
              <w:autoSpaceDN w:val="0"/>
              <w:adjustRightInd w:val="0"/>
              <w:spacing w:line="276" w:lineRule="auto"/>
              <w:rPr>
                <w:rFonts w:ascii="Cambria" w:hAnsi="Cambria" w:cs="Calibri"/>
                <w:color w:val="000000" w:themeColor="text1"/>
                <w:sz w:val="20"/>
                <w:szCs w:val="20"/>
              </w:rPr>
            </w:pPr>
            <w:r>
              <w:rPr>
                <w:rFonts w:ascii="Cambria" w:hAnsi="Cambria" w:cs="Calibri"/>
                <w:color w:val="000000" w:themeColor="text1"/>
                <w:sz w:val="20"/>
                <w:szCs w:val="20"/>
              </w:rPr>
              <w:t>Lunghezza del dispositivo OPO &lt; 600 mm</w:t>
            </w:r>
          </w:p>
        </w:tc>
        <w:tc>
          <w:tcPr>
            <w:tcW w:w="4864" w:type="dxa"/>
          </w:tcPr>
          <w:p w14:paraId="60C29DE7" w14:textId="77777777" w:rsidR="00020005" w:rsidRPr="00A12FB9" w:rsidRDefault="00020005" w:rsidP="00C525CF">
            <w:pPr>
              <w:autoSpaceDE w:val="0"/>
              <w:autoSpaceDN w:val="0"/>
              <w:adjustRightInd w:val="0"/>
              <w:spacing w:line="276" w:lineRule="auto"/>
              <w:rPr>
                <w:rFonts w:ascii="Cambria" w:hAnsi="Cambria" w:cs="Calibri"/>
                <w:b/>
                <w:color w:val="000000" w:themeColor="text1"/>
                <w:sz w:val="20"/>
                <w:szCs w:val="20"/>
              </w:rPr>
            </w:pPr>
          </w:p>
        </w:tc>
      </w:tr>
      <w:tr w:rsidR="00020005" w:rsidRPr="00A12FB9" w14:paraId="734F48E6" w14:textId="77777777" w:rsidTr="00051CBA">
        <w:trPr>
          <w:trHeight w:val="549"/>
        </w:trPr>
        <w:tc>
          <w:tcPr>
            <w:tcW w:w="6193" w:type="dxa"/>
            <w:vAlign w:val="center"/>
          </w:tcPr>
          <w:p w14:paraId="11F2D9EE" w14:textId="3E794CC4" w:rsidR="00020005" w:rsidRDefault="00020005" w:rsidP="0095048D">
            <w:pPr>
              <w:autoSpaceDE w:val="0"/>
              <w:autoSpaceDN w:val="0"/>
              <w:adjustRightInd w:val="0"/>
              <w:spacing w:line="276" w:lineRule="auto"/>
              <w:rPr>
                <w:rFonts w:ascii="Cambria" w:hAnsi="Cambria" w:cs="Calibri"/>
                <w:color w:val="000000" w:themeColor="text1"/>
                <w:sz w:val="20"/>
                <w:szCs w:val="20"/>
              </w:rPr>
            </w:pPr>
            <w:r w:rsidRPr="00020005">
              <w:rPr>
                <w:rFonts w:ascii="Cambria" w:hAnsi="Cambria" w:cs="Calibri"/>
                <w:color w:val="000000" w:themeColor="text1"/>
                <w:sz w:val="20"/>
                <w:szCs w:val="20"/>
              </w:rPr>
              <w:t>Compatibilità del software di controllo dell’OPO con il software già presente per il controllo della sorgente Chameleon Ultra II. Possibilità di integrarezione del software di controllo dell’OPO con quello del laser Chameleon Ultra II in un’unico software con la possibilità di controllare simultaneamente la sorgente e l’OPO per una migliore ottimizzazione dell’efficienza dei fasci.</w:t>
            </w:r>
          </w:p>
        </w:tc>
        <w:tc>
          <w:tcPr>
            <w:tcW w:w="4864" w:type="dxa"/>
          </w:tcPr>
          <w:p w14:paraId="2C9F38B5" w14:textId="77777777" w:rsidR="00020005" w:rsidRPr="00A12FB9" w:rsidRDefault="00020005" w:rsidP="00C525CF">
            <w:pPr>
              <w:autoSpaceDE w:val="0"/>
              <w:autoSpaceDN w:val="0"/>
              <w:adjustRightInd w:val="0"/>
              <w:spacing w:line="276" w:lineRule="auto"/>
              <w:rPr>
                <w:rFonts w:ascii="Cambria" w:hAnsi="Cambria" w:cs="Calibri"/>
                <w:b/>
                <w:color w:val="000000" w:themeColor="text1"/>
                <w:sz w:val="20"/>
                <w:szCs w:val="20"/>
              </w:rPr>
            </w:pPr>
          </w:p>
        </w:tc>
      </w:tr>
      <w:tr w:rsidR="00020005" w:rsidRPr="00A12FB9" w14:paraId="23486E0F" w14:textId="77777777" w:rsidTr="00051CBA">
        <w:trPr>
          <w:trHeight w:val="549"/>
        </w:trPr>
        <w:tc>
          <w:tcPr>
            <w:tcW w:w="6193" w:type="dxa"/>
            <w:vAlign w:val="center"/>
          </w:tcPr>
          <w:p w14:paraId="3B2FA900" w14:textId="5A014297" w:rsidR="00020005" w:rsidRPr="003A591F" w:rsidRDefault="00020005" w:rsidP="0095048D">
            <w:pPr>
              <w:autoSpaceDE w:val="0"/>
              <w:autoSpaceDN w:val="0"/>
              <w:adjustRightInd w:val="0"/>
              <w:spacing w:line="276" w:lineRule="auto"/>
              <w:rPr>
                <w:rFonts w:ascii="Cambria" w:hAnsi="Cambria" w:cs="Calibri"/>
                <w:color w:val="000000" w:themeColor="text1"/>
                <w:sz w:val="20"/>
                <w:szCs w:val="20"/>
              </w:rPr>
            </w:pPr>
            <w:r w:rsidRPr="003A591F">
              <w:rPr>
                <w:rFonts w:ascii="Cambria" w:hAnsi="Cambria" w:cs="Calibri"/>
                <w:color w:val="000000" w:themeColor="text1"/>
                <w:sz w:val="20"/>
                <w:szCs w:val="20"/>
              </w:rPr>
              <w:t xml:space="preserve">Si accettano nell’offerta dispositivi di nuova produzione ma anche dispositivi </w:t>
            </w:r>
            <w:r w:rsidRPr="002834CD">
              <w:rPr>
                <w:rFonts w:ascii="Cambria" w:hAnsi="Cambria" w:cs="Calibri"/>
                <w:b/>
                <w:color w:val="000000" w:themeColor="text1"/>
                <w:sz w:val="20"/>
                <w:szCs w:val="20"/>
              </w:rPr>
              <w:t>ricondizionati (remanufactured)</w:t>
            </w:r>
            <w:r w:rsidRPr="003A591F">
              <w:rPr>
                <w:rFonts w:ascii="Cambria" w:hAnsi="Cambria" w:cs="Calibri"/>
                <w:color w:val="000000" w:themeColor="text1"/>
                <w:sz w:val="20"/>
                <w:szCs w:val="20"/>
              </w:rPr>
              <w:t xml:space="preserve"> purchè </w:t>
            </w:r>
            <w:r w:rsidR="00DD016B" w:rsidRPr="003A591F">
              <w:rPr>
                <w:rFonts w:ascii="Cambria" w:hAnsi="Cambria" w:cs="Calibri"/>
                <w:color w:val="000000" w:themeColor="text1"/>
                <w:sz w:val="20"/>
                <w:szCs w:val="20"/>
              </w:rPr>
              <w:t>soddisfi</w:t>
            </w:r>
            <w:r w:rsidR="002834CD">
              <w:rPr>
                <w:rFonts w:ascii="Cambria" w:hAnsi="Cambria" w:cs="Calibri"/>
                <w:color w:val="000000" w:themeColor="text1"/>
                <w:sz w:val="20"/>
                <w:szCs w:val="20"/>
              </w:rPr>
              <w:t>no</w:t>
            </w:r>
            <w:r w:rsidR="00DD016B" w:rsidRPr="003A591F">
              <w:rPr>
                <w:rFonts w:ascii="Cambria" w:hAnsi="Cambria" w:cs="Calibri"/>
                <w:color w:val="000000" w:themeColor="text1"/>
                <w:sz w:val="20"/>
                <w:szCs w:val="20"/>
              </w:rPr>
              <w:t xml:space="preserve"> i seguenti requisiti minimi</w:t>
            </w:r>
            <w:r w:rsidRPr="003A591F">
              <w:rPr>
                <w:rFonts w:ascii="Cambria" w:hAnsi="Cambria" w:cs="Calibri"/>
                <w:color w:val="000000" w:themeColor="text1"/>
                <w:sz w:val="20"/>
                <w:szCs w:val="20"/>
              </w:rPr>
              <w:t>:</w:t>
            </w:r>
          </w:p>
          <w:p w14:paraId="7FC60743" w14:textId="173DD008" w:rsidR="00DD016B" w:rsidRPr="003A591F" w:rsidRDefault="00DD016B" w:rsidP="00020005">
            <w:pPr>
              <w:pStyle w:val="Paragrafoelenco"/>
              <w:numPr>
                <w:ilvl w:val="0"/>
                <w:numId w:val="12"/>
              </w:numPr>
              <w:autoSpaceDE w:val="0"/>
              <w:autoSpaceDN w:val="0"/>
              <w:adjustRightInd w:val="0"/>
              <w:spacing w:line="276" w:lineRule="auto"/>
              <w:rPr>
                <w:rFonts w:ascii="Cambria" w:hAnsi="Cambria" w:cs="Calibri"/>
                <w:color w:val="000000" w:themeColor="text1"/>
                <w:sz w:val="20"/>
                <w:szCs w:val="20"/>
              </w:rPr>
            </w:pPr>
            <w:r w:rsidRPr="003A591F">
              <w:rPr>
                <w:rFonts w:ascii="Cambria" w:hAnsi="Cambria" w:cs="Calibri"/>
                <w:color w:val="000000" w:themeColor="text1"/>
                <w:sz w:val="20"/>
                <w:szCs w:val="20"/>
              </w:rPr>
              <w:t>Estensione di garanzia a 24 mesi;</w:t>
            </w:r>
          </w:p>
          <w:p w14:paraId="2F37A295" w14:textId="7DE971F7" w:rsidR="00020005" w:rsidRPr="003A591F" w:rsidRDefault="00020005" w:rsidP="00020005">
            <w:pPr>
              <w:pStyle w:val="Paragrafoelenco"/>
              <w:numPr>
                <w:ilvl w:val="0"/>
                <w:numId w:val="12"/>
              </w:numPr>
              <w:autoSpaceDE w:val="0"/>
              <w:autoSpaceDN w:val="0"/>
              <w:adjustRightInd w:val="0"/>
              <w:spacing w:line="276" w:lineRule="auto"/>
              <w:rPr>
                <w:rFonts w:ascii="Cambria" w:hAnsi="Cambria" w:cs="Calibri"/>
                <w:color w:val="000000" w:themeColor="text1"/>
                <w:sz w:val="20"/>
                <w:szCs w:val="20"/>
              </w:rPr>
            </w:pPr>
            <w:r w:rsidRPr="003A591F">
              <w:rPr>
                <w:rFonts w:ascii="Cambria" w:hAnsi="Cambria" w:cs="Calibri"/>
                <w:color w:val="000000" w:themeColor="text1"/>
                <w:sz w:val="20"/>
                <w:szCs w:val="20"/>
              </w:rPr>
              <w:t>anno di produzione &gt; 2011</w:t>
            </w:r>
            <w:r w:rsidR="00281DD0" w:rsidRPr="003A591F">
              <w:rPr>
                <w:rFonts w:ascii="Cambria" w:hAnsi="Cambria" w:cs="Calibri"/>
                <w:color w:val="000000" w:themeColor="text1"/>
                <w:sz w:val="20"/>
                <w:szCs w:val="20"/>
              </w:rPr>
              <w:t>;</w:t>
            </w:r>
          </w:p>
          <w:p w14:paraId="7031FBC9" w14:textId="6AED3787" w:rsidR="00020005" w:rsidRPr="00020005" w:rsidRDefault="00020005" w:rsidP="00020005">
            <w:pPr>
              <w:pStyle w:val="Paragrafoelenco"/>
              <w:numPr>
                <w:ilvl w:val="0"/>
                <w:numId w:val="12"/>
              </w:numPr>
              <w:autoSpaceDE w:val="0"/>
              <w:autoSpaceDN w:val="0"/>
              <w:adjustRightInd w:val="0"/>
              <w:spacing w:line="276" w:lineRule="auto"/>
              <w:rPr>
                <w:rFonts w:ascii="Cambria" w:hAnsi="Cambria" w:cs="Calibri"/>
                <w:color w:val="000000" w:themeColor="text1"/>
                <w:sz w:val="20"/>
                <w:szCs w:val="20"/>
              </w:rPr>
            </w:pPr>
            <w:r w:rsidRPr="003A591F">
              <w:rPr>
                <w:rFonts w:ascii="Cambria" w:hAnsi="Cambria" w:cs="Calibri"/>
                <w:color w:val="000000" w:themeColor="text1"/>
                <w:sz w:val="20"/>
                <w:szCs w:val="20"/>
              </w:rPr>
              <w:t>anno di ricondizionamento ≥ 2021</w:t>
            </w:r>
            <w:r w:rsidR="00281DD0" w:rsidRPr="003A591F">
              <w:rPr>
                <w:rFonts w:ascii="Cambria" w:hAnsi="Cambria" w:cs="Calibri"/>
                <w:color w:val="000000" w:themeColor="text1"/>
                <w:sz w:val="20"/>
                <w:szCs w:val="20"/>
              </w:rPr>
              <w:t>.</w:t>
            </w:r>
          </w:p>
        </w:tc>
        <w:tc>
          <w:tcPr>
            <w:tcW w:w="4864" w:type="dxa"/>
          </w:tcPr>
          <w:p w14:paraId="489550C5" w14:textId="77777777" w:rsidR="00020005" w:rsidRPr="00A12FB9" w:rsidRDefault="00020005" w:rsidP="00C525CF">
            <w:pPr>
              <w:autoSpaceDE w:val="0"/>
              <w:autoSpaceDN w:val="0"/>
              <w:adjustRightInd w:val="0"/>
              <w:spacing w:line="276" w:lineRule="auto"/>
              <w:rPr>
                <w:rFonts w:ascii="Cambria" w:hAnsi="Cambria" w:cs="Calibri"/>
                <w:b/>
                <w:color w:val="000000" w:themeColor="text1"/>
                <w:sz w:val="20"/>
                <w:szCs w:val="20"/>
              </w:rPr>
            </w:pPr>
          </w:p>
        </w:tc>
      </w:tr>
    </w:tbl>
    <w:p w14:paraId="4043156B" w14:textId="5021FFE9" w:rsidR="00076268" w:rsidRPr="00A12FB9" w:rsidRDefault="00076268" w:rsidP="009A43CF">
      <w:pPr>
        <w:suppressAutoHyphens w:val="0"/>
        <w:jc w:val="left"/>
        <w:rPr>
          <w:rFonts w:ascii="Cambria" w:hAnsi="Cambria"/>
          <w:sz w:val="20"/>
          <w:szCs w:val="20"/>
        </w:rPr>
      </w:pPr>
    </w:p>
    <w:sectPr w:rsidR="00076268" w:rsidRPr="00A12FB9" w:rsidSect="00A22D6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altName w:val="MS Gothic"/>
    <w:charset w:val="00"/>
    <w:family w:val="roman"/>
    <w:pitch w:val="variable"/>
    <w:sig w:usb0="00000003" w:usb1="00000000" w:usb2="00000000" w:usb3="00000000" w:csb0="00000001" w:csb1="00000000"/>
  </w:font>
  <w:font w:name="WenQuanYi Zen Hei">
    <w:altName w:val="MS Gothic"/>
    <w:charset w:val="80"/>
    <w:family w:val="auto"/>
    <w:pitch w:val="variable"/>
    <w:sig w:usb0="00000001" w:usb1="08070000" w:usb2="00000010" w:usb3="00000000" w:csb0="00020000" w:csb1="00000000"/>
  </w:font>
  <w:font w:name="Lohit Devanagari">
    <w:altName w:val="MS Gothic"/>
    <w:charset w:val="80"/>
    <w:family w:val="auto"/>
    <w:pitch w:val="variable"/>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222B"/>
    <w:multiLevelType w:val="hybridMultilevel"/>
    <w:tmpl w:val="81FE4F1A"/>
    <w:lvl w:ilvl="0" w:tplc="01D0BFD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24BC"/>
    <w:multiLevelType w:val="hybridMultilevel"/>
    <w:tmpl w:val="E7F684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6957C0"/>
    <w:multiLevelType w:val="hybridMultilevel"/>
    <w:tmpl w:val="1664652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9F387F"/>
    <w:multiLevelType w:val="hybridMultilevel"/>
    <w:tmpl w:val="46DA903E"/>
    <w:lvl w:ilvl="0" w:tplc="32543F18">
      <w:numFmt w:val="bullet"/>
      <w:lvlText w:val=""/>
      <w:lvlJc w:val="left"/>
      <w:pPr>
        <w:ind w:left="1080" w:hanging="360"/>
      </w:pPr>
      <w:rPr>
        <w:rFonts w:ascii="Symbol" w:eastAsia="Calibri" w:hAnsi="Symbol" w:cstheme="minorHAns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5F44BBE"/>
    <w:multiLevelType w:val="hybridMultilevel"/>
    <w:tmpl w:val="71BCD62A"/>
    <w:lvl w:ilvl="0" w:tplc="D804D3C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242575F"/>
    <w:multiLevelType w:val="hybridMultilevel"/>
    <w:tmpl w:val="4B2A1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6263BD"/>
    <w:multiLevelType w:val="hybridMultilevel"/>
    <w:tmpl w:val="7EA84FA0"/>
    <w:lvl w:ilvl="0" w:tplc="48F2E054">
      <w:start w:val="1"/>
      <w:numFmt w:val="bullet"/>
      <w:lvlText w:val=""/>
      <w:lvlJc w:val="left"/>
      <w:pPr>
        <w:ind w:left="360" w:hanging="360"/>
      </w:pPr>
      <w:rPr>
        <w:rFonts w:ascii="Wingdings" w:hAnsi="Wingdings" w:hint="default"/>
        <w:b w:val="0"/>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1111E1"/>
    <w:multiLevelType w:val="hybridMultilevel"/>
    <w:tmpl w:val="0A825B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7E7875"/>
    <w:multiLevelType w:val="hybridMultilevel"/>
    <w:tmpl w:val="D4E26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FF3124"/>
    <w:multiLevelType w:val="hybridMultilevel"/>
    <w:tmpl w:val="D45454BC"/>
    <w:lvl w:ilvl="0" w:tplc="04100001">
      <w:start w:val="1"/>
      <w:numFmt w:val="bullet"/>
      <w:lvlText w:val=""/>
      <w:lvlJc w:val="left"/>
      <w:pPr>
        <w:ind w:left="781" w:hanging="360"/>
      </w:pPr>
      <w:rPr>
        <w:rFonts w:ascii="Symbol" w:hAnsi="Symbol" w:hint="default"/>
      </w:rPr>
    </w:lvl>
    <w:lvl w:ilvl="1" w:tplc="04100003" w:tentative="1">
      <w:start w:val="1"/>
      <w:numFmt w:val="bullet"/>
      <w:lvlText w:val="o"/>
      <w:lvlJc w:val="left"/>
      <w:pPr>
        <w:ind w:left="1501" w:hanging="360"/>
      </w:pPr>
      <w:rPr>
        <w:rFonts w:ascii="Courier New" w:hAnsi="Courier New" w:cs="Courier New" w:hint="default"/>
      </w:rPr>
    </w:lvl>
    <w:lvl w:ilvl="2" w:tplc="04100005" w:tentative="1">
      <w:start w:val="1"/>
      <w:numFmt w:val="bullet"/>
      <w:lvlText w:val=""/>
      <w:lvlJc w:val="left"/>
      <w:pPr>
        <w:ind w:left="2221" w:hanging="360"/>
      </w:pPr>
      <w:rPr>
        <w:rFonts w:ascii="Wingdings" w:hAnsi="Wingdings" w:hint="default"/>
      </w:rPr>
    </w:lvl>
    <w:lvl w:ilvl="3" w:tplc="04100001" w:tentative="1">
      <w:start w:val="1"/>
      <w:numFmt w:val="bullet"/>
      <w:lvlText w:val=""/>
      <w:lvlJc w:val="left"/>
      <w:pPr>
        <w:ind w:left="2941" w:hanging="360"/>
      </w:pPr>
      <w:rPr>
        <w:rFonts w:ascii="Symbol" w:hAnsi="Symbol" w:hint="default"/>
      </w:rPr>
    </w:lvl>
    <w:lvl w:ilvl="4" w:tplc="04100003" w:tentative="1">
      <w:start w:val="1"/>
      <w:numFmt w:val="bullet"/>
      <w:lvlText w:val="o"/>
      <w:lvlJc w:val="left"/>
      <w:pPr>
        <w:ind w:left="3661" w:hanging="360"/>
      </w:pPr>
      <w:rPr>
        <w:rFonts w:ascii="Courier New" w:hAnsi="Courier New" w:cs="Courier New" w:hint="default"/>
      </w:rPr>
    </w:lvl>
    <w:lvl w:ilvl="5" w:tplc="04100005" w:tentative="1">
      <w:start w:val="1"/>
      <w:numFmt w:val="bullet"/>
      <w:lvlText w:val=""/>
      <w:lvlJc w:val="left"/>
      <w:pPr>
        <w:ind w:left="4381" w:hanging="360"/>
      </w:pPr>
      <w:rPr>
        <w:rFonts w:ascii="Wingdings" w:hAnsi="Wingdings" w:hint="default"/>
      </w:rPr>
    </w:lvl>
    <w:lvl w:ilvl="6" w:tplc="04100001" w:tentative="1">
      <w:start w:val="1"/>
      <w:numFmt w:val="bullet"/>
      <w:lvlText w:val=""/>
      <w:lvlJc w:val="left"/>
      <w:pPr>
        <w:ind w:left="5101" w:hanging="360"/>
      </w:pPr>
      <w:rPr>
        <w:rFonts w:ascii="Symbol" w:hAnsi="Symbol" w:hint="default"/>
      </w:rPr>
    </w:lvl>
    <w:lvl w:ilvl="7" w:tplc="04100003" w:tentative="1">
      <w:start w:val="1"/>
      <w:numFmt w:val="bullet"/>
      <w:lvlText w:val="o"/>
      <w:lvlJc w:val="left"/>
      <w:pPr>
        <w:ind w:left="5821" w:hanging="360"/>
      </w:pPr>
      <w:rPr>
        <w:rFonts w:ascii="Courier New" w:hAnsi="Courier New" w:cs="Courier New" w:hint="default"/>
      </w:rPr>
    </w:lvl>
    <w:lvl w:ilvl="8" w:tplc="04100005" w:tentative="1">
      <w:start w:val="1"/>
      <w:numFmt w:val="bullet"/>
      <w:lvlText w:val=""/>
      <w:lvlJc w:val="left"/>
      <w:pPr>
        <w:ind w:left="6541" w:hanging="360"/>
      </w:pPr>
      <w:rPr>
        <w:rFonts w:ascii="Wingdings" w:hAnsi="Wingdings" w:hint="default"/>
      </w:rPr>
    </w:lvl>
  </w:abstractNum>
  <w:abstractNum w:abstractNumId="10" w15:restartNumberingAfterBreak="0">
    <w:nsid w:val="55112FFB"/>
    <w:multiLevelType w:val="hybridMultilevel"/>
    <w:tmpl w:val="8D487E36"/>
    <w:lvl w:ilvl="0" w:tplc="9A8443EE">
      <w:numFmt w:val="bullet"/>
      <w:lvlText w:val="-"/>
      <w:lvlJc w:val="left"/>
      <w:pPr>
        <w:ind w:left="720" w:hanging="360"/>
      </w:pPr>
      <w:rPr>
        <w:rFonts w:ascii="Cambria" w:eastAsia="Times New Roman" w:hAnsi="Cambri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D16C1"/>
    <w:multiLevelType w:val="hybridMultilevel"/>
    <w:tmpl w:val="43BE6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11"/>
  </w:num>
  <w:num w:numId="6">
    <w:abstractNumId w:val="9"/>
  </w:num>
  <w:num w:numId="7">
    <w:abstractNumId w:val="3"/>
  </w:num>
  <w:num w:numId="8">
    <w:abstractNumId w:val="2"/>
  </w:num>
  <w:num w:numId="9">
    <w:abstractNumId w:val="8"/>
  </w:num>
  <w:num w:numId="10">
    <w:abstractNumId w:val="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C34"/>
    <w:rsid w:val="00001AED"/>
    <w:rsid w:val="00020005"/>
    <w:rsid w:val="0002011A"/>
    <w:rsid w:val="000335A8"/>
    <w:rsid w:val="00051CBA"/>
    <w:rsid w:val="000710D5"/>
    <w:rsid w:val="00076268"/>
    <w:rsid w:val="00083C9F"/>
    <w:rsid w:val="00085048"/>
    <w:rsid w:val="00086E85"/>
    <w:rsid w:val="0009381A"/>
    <w:rsid w:val="000A13CF"/>
    <w:rsid w:val="000D3274"/>
    <w:rsid w:val="000D72E6"/>
    <w:rsid w:val="001130FE"/>
    <w:rsid w:val="001317B1"/>
    <w:rsid w:val="00177472"/>
    <w:rsid w:val="001A6175"/>
    <w:rsid w:val="002776A3"/>
    <w:rsid w:val="002818D1"/>
    <w:rsid w:val="00281DD0"/>
    <w:rsid w:val="002834CD"/>
    <w:rsid w:val="002D4E17"/>
    <w:rsid w:val="00304860"/>
    <w:rsid w:val="0031552E"/>
    <w:rsid w:val="00346C34"/>
    <w:rsid w:val="00346ECA"/>
    <w:rsid w:val="00352196"/>
    <w:rsid w:val="003A591F"/>
    <w:rsid w:val="003E6D7B"/>
    <w:rsid w:val="00403D22"/>
    <w:rsid w:val="00421B4D"/>
    <w:rsid w:val="00465688"/>
    <w:rsid w:val="004A0476"/>
    <w:rsid w:val="004D3D94"/>
    <w:rsid w:val="005674AC"/>
    <w:rsid w:val="005C5975"/>
    <w:rsid w:val="005E6A2F"/>
    <w:rsid w:val="005F35AB"/>
    <w:rsid w:val="00682D84"/>
    <w:rsid w:val="006A04E8"/>
    <w:rsid w:val="006B6E4F"/>
    <w:rsid w:val="006E39FC"/>
    <w:rsid w:val="007343C5"/>
    <w:rsid w:val="00764D77"/>
    <w:rsid w:val="007A6150"/>
    <w:rsid w:val="007B3068"/>
    <w:rsid w:val="007C2D87"/>
    <w:rsid w:val="007C4982"/>
    <w:rsid w:val="007F79A0"/>
    <w:rsid w:val="00851445"/>
    <w:rsid w:val="00875EC4"/>
    <w:rsid w:val="00903982"/>
    <w:rsid w:val="009233BC"/>
    <w:rsid w:val="00940175"/>
    <w:rsid w:val="0095048D"/>
    <w:rsid w:val="00991701"/>
    <w:rsid w:val="009A43CF"/>
    <w:rsid w:val="00A12FB9"/>
    <w:rsid w:val="00A22D62"/>
    <w:rsid w:val="00A66903"/>
    <w:rsid w:val="00A95DA8"/>
    <w:rsid w:val="00AC4ABA"/>
    <w:rsid w:val="00AC57AD"/>
    <w:rsid w:val="00AE0D44"/>
    <w:rsid w:val="00AF5E3F"/>
    <w:rsid w:val="00B33AD1"/>
    <w:rsid w:val="00BA39E4"/>
    <w:rsid w:val="00BB158D"/>
    <w:rsid w:val="00BD21FC"/>
    <w:rsid w:val="00BD41CB"/>
    <w:rsid w:val="00BF733D"/>
    <w:rsid w:val="00C26FAF"/>
    <w:rsid w:val="00C648F4"/>
    <w:rsid w:val="00CA4B2D"/>
    <w:rsid w:val="00D609CF"/>
    <w:rsid w:val="00D614AF"/>
    <w:rsid w:val="00D70762"/>
    <w:rsid w:val="00D94B2B"/>
    <w:rsid w:val="00DD016B"/>
    <w:rsid w:val="00DE7AB4"/>
    <w:rsid w:val="00E225DC"/>
    <w:rsid w:val="00E36A6E"/>
    <w:rsid w:val="00E665EB"/>
    <w:rsid w:val="00ED1F24"/>
    <w:rsid w:val="00ED63FB"/>
    <w:rsid w:val="00EF5E60"/>
    <w:rsid w:val="00F5365F"/>
    <w:rsid w:val="00FA3EE6"/>
    <w:rsid w:val="00FF61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4A19"/>
  <w15:chartTrackingRefBased/>
  <w15:docId w15:val="{2B7CCD84-6FA8-8D42-8A21-3C6E89A1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317B1"/>
    <w:pPr>
      <w:suppressAutoHyphens/>
      <w:jc w:val="both"/>
    </w:pPr>
    <w:rPr>
      <w:rFonts w:ascii="Times New Roman" w:eastAsia="Times New Roman" w:hAnsi="Times New Roman" w:cs="Times New Roman"/>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346C34"/>
    <w:pPr>
      <w:widowControl w:val="0"/>
      <w:spacing w:after="120"/>
      <w:jc w:val="left"/>
    </w:pPr>
    <w:rPr>
      <w:rFonts w:ascii="Liberation Serif" w:eastAsia="WenQuanYi Zen Hei" w:hAnsi="Liberation Serif" w:cs="Lohit Devanagari"/>
      <w:kern w:val="1"/>
      <w:lang w:val="en-US" w:bidi="hi-IN"/>
    </w:rPr>
  </w:style>
  <w:style w:type="character" w:customStyle="1" w:styleId="CorpotestoCarattere">
    <w:name w:val="Corpo testo Carattere"/>
    <w:basedOn w:val="Carpredefinitoparagrafo"/>
    <w:link w:val="Corpotesto"/>
    <w:rsid w:val="00346C34"/>
    <w:rPr>
      <w:rFonts w:ascii="Liberation Serif" w:eastAsia="WenQuanYi Zen Hei" w:hAnsi="Liberation Serif" w:cs="Lohit Devanagari"/>
      <w:kern w:val="1"/>
      <w:lang w:val="en-US" w:eastAsia="zh-CN" w:bidi="hi-IN"/>
    </w:rPr>
  </w:style>
  <w:style w:type="table" w:styleId="Grigliatabella">
    <w:name w:val="Table Grid"/>
    <w:basedOn w:val="Tabellanormale"/>
    <w:rsid w:val="0034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346C34"/>
    <w:pPr>
      <w:ind w:left="720"/>
      <w:contextualSpacing/>
    </w:pPr>
  </w:style>
  <w:style w:type="paragraph" w:styleId="Testofumetto">
    <w:name w:val="Balloon Text"/>
    <w:basedOn w:val="Normale"/>
    <w:link w:val="TestofumettoCarattere"/>
    <w:uiPriority w:val="99"/>
    <w:semiHidden/>
    <w:unhideWhenUsed/>
    <w:rsid w:val="00AC57A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C57AD"/>
    <w:rPr>
      <w:rFonts w:ascii="Segoe UI" w:eastAsia="Times New Roman" w:hAnsi="Segoe UI" w:cs="Segoe UI"/>
      <w:sz w:val="18"/>
      <w:szCs w:val="18"/>
      <w:lang w:eastAsia="zh-CN"/>
    </w:rPr>
  </w:style>
  <w:style w:type="character" w:styleId="Rimandocommento">
    <w:name w:val="annotation reference"/>
    <w:basedOn w:val="Carpredefinitoparagrafo"/>
    <w:uiPriority w:val="99"/>
    <w:semiHidden/>
    <w:unhideWhenUsed/>
    <w:rsid w:val="00D70762"/>
    <w:rPr>
      <w:sz w:val="16"/>
      <w:szCs w:val="16"/>
    </w:rPr>
  </w:style>
  <w:style w:type="paragraph" w:styleId="Testocommento">
    <w:name w:val="annotation text"/>
    <w:basedOn w:val="Normale"/>
    <w:link w:val="TestocommentoCarattere"/>
    <w:uiPriority w:val="99"/>
    <w:semiHidden/>
    <w:unhideWhenUsed/>
    <w:rsid w:val="00D70762"/>
    <w:rPr>
      <w:sz w:val="20"/>
      <w:szCs w:val="20"/>
    </w:rPr>
  </w:style>
  <w:style w:type="character" w:customStyle="1" w:styleId="TestocommentoCarattere">
    <w:name w:val="Testo commento Carattere"/>
    <w:basedOn w:val="Carpredefinitoparagrafo"/>
    <w:link w:val="Testocommento"/>
    <w:uiPriority w:val="99"/>
    <w:semiHidden/>
    <w:rsid w:val="00D70762"/>
    <w:rPr>
      <w:rFonts w:ascii="Times New Roman" w:eastAsia="Times New Roman" w:hAnsi="Times New Roman" w:cs="Times New Roman"/>
      <w:sz w:val="20"/>
      <w:szCs w:val="20"/>
      <w:lang w:eastAsia="zh-CN"/>
    </w:rPr>
  </w:style>
  <w:style w:type="paragraph" w:styleId="Soggettocommento">
    <w:name w:val="annotation subject"/>
    <w:basedOn w:val="Testocommento"/>
    <w:next w:val="Testocommento"/>
    <w:link w:val="SoggettocommentoCarattere"/>
    <w:uiPriority w:val="99"/>
    <w:semiHidden/>
    <w:unhideWhenUsed/>
    <w:rsid w:val="00D70762"/>
    <w:rPr>
      <w:b/>
      <w:bCs/>
    </w:rPr>
  </w:style>
  <w:style w:type="character" w:customStyle="1" w:styleId="SoggettocommentoCarattere">
    <w:name w:val="Soggetto commento Carattere"/>
    <w:basedOn w:val="TestocommentoCarattere"/>
    <w:link w:val="Soggettocommento"/>
    <w:uiPriority w:val="99"/>
    <w:semiHidden/>
    <w:rsid w:val="00D70762"/>
    <w:rPr>
      <w:rFonts w:ascii="Times New Roman" w:eastAsia="Times New Roman" w:hAnsi="Times New Roman" w:cs="Times New Roman"/>
      <w:b/>
      <w:bCs/>
      <w:sz w:val="20"/>
      <w:szCs w:val="20"/>
      <w:lang w:eastAsia="zh-CN"/>
    </w:rPr>
  </w:style>
  <w:style w:type="character" w:customStyle="1" w:styleId="ParagrafoelencoCarattere">
    <w:name w:val="Paragrafo elenco Carattere"/>
    <w:link w:val="Paragrafoelenco"/>
    <w:uiPriority w:val="34"/>
    <w:locked/>
    <w:rsid w:val="002818D1"/>
    <w:rPr>
      <w:rFonts w:ascii="Times New Roman" w:eastAsia="Times New Roman" w:hAnsi="Times New Roman" w:cs="Times New Roman"/>
      <w:lang w:eastAsia="zh-CN"/>
    </w:rPr>
  </w:style>
  <w:style w:type="paragraph" w:styleId="Revisione">
    <w:name w:val="Revision"/>
    <w:hidden/>
    <w:uiPriority w:val="99"/>
    <w:semiHidden/>
    <w:rsid w:val="00DE7AB4"/>
    <w:rPr>
      <w:rFonts w:ascii="Times New Roman" w:eastAsia="Times New Roman" w:hAnsi="Times New Roman"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473</Words>
  <Characters>2697</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Cavazzana</dc:creator>
  <cp:keywords/>
  <dc:description/>
  <cp:lastModifiedBy>Viola Locatelli</cp:lastModifiedBy>
  <cp:revision>8</cp:revision>
  <cp:lastPrinted>2019-02-15T09:28:00Z</cp:lastPrinted>
  <dcterms:created xsi:type="dcterms:W3CDTF">2021-05-31T07:46:00Z</dcterms:created>
  <dcterms:modified xsi:type="dcterms:W3CDTF">2021-06-07T09:54:00Z</dcterms:modified>
</cp:coreProperties>
</file>