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DF20A" w14:textId="041366E4" w:rsidR="008B15C1" w:rsidRPr="008B15C1" w:rsidRDefault="008B15C1" w:rsidP="008B15C1">
      <w:pPr>
        <w:tabs>
          <w:tab w:val="left" w:pos="284"/>
        </w:tabs>
        <w:spacing w:after="120" w:line="240" w:lineRule="auto"/>
        <w:rPr>
          <w:rFonts w:ascii="Verdana" w:eastAsia="Times New Roman" w:hAnsi="Verdana" w:cs="Times New Roman"/>
          <w:b/>
          <w:i/>
          <w:sz w:val="20"/>
          <w:szCs w:val="20"/>
        </w:rPr>
      </w:pPr>
      <w:proofErr w:type="spellStart"/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>Prot</w:t>
      </w:r>
      <w:proofErr w:type="spellEnd"/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 xml:space="preserve">. </w:t>
      </w:r>
      <w:proofErr w:type="spellStart"/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>n.XXXXX</w:t>
      </w:r>
      <w:proofErr w:type="spellEnd"/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 xml:space="preserve"> del gg/mm/</w:t>
      </w:r>
      <w:proofErr w:type="spellStart"/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>aaaaa</w:t>
      </w:r>
      <w:proofErr w:type="spellEnd"/>
    </w:p>
    <w:p w14:paraId="422B1B9C" w14:textId="77777777" w:rsidR="008B15C1" w:rsidRPr="008B15C1" w:rsidRDefault="008B15C1" w:rsidP="008B15C1">
      <w:pPr>
        <w:tabs>
          <w:tab w:val="left" w:pos="284"/>
        </w:tabs>
        <w:spacing w:after="120" w:line="240" w:lineRule="auto"/>
        <w:ind w:left="284" w:hanging="284"/>
        <w:rPr>
          <w:rFonts w:ascii="Verdana" w:eastAsia="Times New Roman" w:hAnsi="Verdana" w:cs="Times New Roman"/>
          <w:b/>
          <w:i/>
          <w:sz w:val="20"/>
          <w:szCs w:val="20"/>
        </w:rPr>
      </w:pPr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>Rep. N.XXXX/</w:t>
      </w:r>
      <w:proofErr w:type="spellStart"/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>aaaa</w:t>
      </w:r>
      <w:proofErr w:type="spellEnd"/>
    </w:p>
    <w:p w14:paraId="0ACF0F6F" w14:textId="77777777" w:rsidR="008B15C1" w:rsidRPr="008B15C1" w:rsidRDefault="008B15C1" w:rsidP="008B15C1">
      <w:pPr>
        <w:tabs>
          <w:tab w:val="left" w:pos="284"/>
        </w:tabs>
        <w:spacing w:after="120" w:line="240" w:lineRule="auto"/>
        <w:ind w:left="284" w:hanging="284"/>
        <w:rPr>
          <w:rFonts w:ascii="Verdana" w:eastAsia="Times New Roman" w:hAnsi="Verdana" w:cs="Times New Roman"/>
          <w:b/>
          <w:color w:val="4F81BD"/>
          <w:sz w:val="32"/>
          <w:szCs w:val="24"/>
          <w:lang w:eastAsia="it-IT"/>
        </w:rPr>
      </w:pPr>
    </w:p>
    <w:p w14:paraId="448FCE0C" w14:textId="20D8F43B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i/>
          <w:sz w:val="20"/>
          <w:szCs w:val="20"/>
        </w:rPr>
      </w:pPr>
      <w:r w:rsidRPr="008B15C1">
        <w:rPr>
          <w:rFonts w:ascii="Verdana" w:eastAsia="Times New Roman" w:hAnsi="Verdana" w:cs="Times New Roman"/>
          <w:b/>
          <w:i/>
          <w:sz w:val="20"/>
          <w:szCs w:val="20"/>
        </w:rPr>
        <w:t>Oggetto:</w:t>
      </w:r>
      <w:r w:rsidRPr="008B15C1">
        <w:rPr>
          <w:rFonts w:ascii="Verdana" w:eastAsia="Times New Roman" w:hAnsi="Verdana" w:cs="Times New Roman"/>
          <w:i/>
          <w:sz w:val="20"/>
          <w:szCs w:val="20"/>
        </w:rPr>
        <w:t xml:space="preserve"> Nomina a Responsabile Esterno del Politecni</w:t>
      </w:r>
      <w:r w:rsidR="004C249F">
        <w:rPr>
          <w:rFonts w:ascii="Verdana" w:eastAsia="Times New Roman" w:hAnsi="Verdana" w:cs="Times New Roman"/>
          <w:i/>
          <w:sz w:val="20"/>
          <w:szCs w:val="20"/>
        </w:rPr>
        <w:t xml:space="preserve">co di Milano per </w:t>
      </w:r>
      <w:r w:rsidR="00491B29">
        <w:rPr>
          <w:rFonts w:ascii="Verdana" w:eastAsia="Times New Roman" w:hAnsi="Verdana" w:cs="Times New Roman"/>
          <w:i/>
          <w:sz w:val="20"/>
          <w:szCs w:val="20"/>
        </w:rPr>
        <w:t xml:space="preserve">il contratto relativo alla </w:t>
      </w:r>
      <w:r w:rsidR="00491B29" w:rsidRPr="00491B29">
        <w:rPr>
          <w:rFonts w:ascii="Verdana" w:eastAsia="Times New Roman" w:hAnsi="Verdana" w:cs="Times New Roman"/>
          <w:i/>
          <w:sz w:val="20"/>
          <w:szCs w:val="20"/>
        </w:rPr>
        <w:t xml:space="preserve">FORNITURA DEL SERVIZIO SOSTITUTIVO DI MENSA MEDIANTE BUONI PASTO ELETTRONICI PER STUDENTI ASSEGNATARI DI BENEFICI DEL DIRITTO ALLO STUDIO – </w:t>
      </w:r>
      <w:bookmarkStart w:id="0" w:name="_GoBack"/>
      <w:r w:rsidR="00491B29" w:rsidRPr="00491B29">
        <w:rPr>
          <w:rFonts w:ascii="Verdana" w:eastAsia="Times New Roman" w:hAnsi="Verdana" w:cs="Times New Roman"/>
          <w:i/>
          <w:sz w:val="20"/>
          <w:szCs w:val="20"/>
        </w:rPr>
        <w:t>CIG</w:t>
      </w:r>
      <w:bookmarkEnd w:id="0"/>
      <w:r w:rsidR="00491B29" w:rsidRPr="00491B29">
        <w:rPr>
          <w:rFonts w:ascii="Verdana" w:eastAsia="Times New Roman" w:hAnsi="Verdana" w:cs="Times New Roman"/>
          <w:i/>
          <w:sz w:val="20"/>
          <w:szCs w:val="20"/>
        </w:rPr>
        <w:t xml:space="preserve"> </w:t>
      </w:r>
      <w:r w:rsidR="00C67B5B">
        <w:rPr>
          <w:rFonts w:ascii="Verdana" w:eastAsia="Times New Roman" w:hAnsi="Verdana" w:cs="Times New Roman"/>
          <w:i/>
          <w:sz w:val="20"/>
          <w:szCs w:val="20"/>
        </w:rPr>
        <w:t>………………………..</w:t>
      </w:r>
    </w:p>
    <w:p w14:paraId="5BE06917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6D1F9B24" w14:textId="77777777" w:rsidR="00CC69DC" w:rsidRDefault="00CC69DC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2D7EA908" w14:textId="2EC06A1C" w:rsidR="00CC69DC" w:rsidRPr="0037311D" w:rsidRDefault="00CC69DC" w:rsidP="00CC69D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37311D">
        <w:rPr>
          <w:rFonts w:ascii="Verdana" w:eastAsia="Times New Roman" w:hAnsi="Verdana" w:cs="Times New Roman"/>
          <w:sz w:val="20"/>
          <w:szCs w:val="20"/>
        </w:rPr>
        <w:t xml:space="preserve">Preso atto che </w:t>
      </w:r>
      <w:r w:rsidR="004C249F" w:rsidRPr="004C249F">
        <w:rPr>
          <w:rFonts w:ascii="Verdana" w:eastAsia="Times New Roman" w:hAnsi="Verdana" w:cs="Times New Roman"/>
          <w:sz w:val="20"/>
          <w:szCs w:val="20"/>
          <w:highlight w:val="yellow"/>
        </w:rPr>
        <w:t>…</w:t>
      </w:r>
      <w:r w:rsidRPr="0037311D">
        <w:rPr>
          <w:rFonts w:ascii="Verdana" w:eastAsia="Times New Roman" w:hAnsi="Verdana" w:cs="Times New Roman"/>
          <w:sz w:val="20"/>
          <w:szCs w:val="20"/>
        </w:rPr>
        <w:t xml:space="preserve"> ha la propria sede </w:t>
      </w:r>
      <w:r w:rsidR="004C249F">
        <w:rPr>
          <w:rFonts w:ascii="Verdana" w:eastAsia="Times New Roman" w:hAnsi="Verdana" w:cs="Times New Roman"/>
          <w:sz w:val="20"/>
          <w:szCs w:val="20"/>
        </w:rPr>
        <w:t xml:space="preserve">in </w:t>
      </w:r>
      <w:r w:rsidR="004C249F" w:rsidRPr="004C249F">
        <w:rPr>
          <w:rFonts w:ascii="Verdana" w:eastAsia="Times New Roman" w:hAnsi="Verdana" w:cs="Times New Roman"/>
          <w:sz w:val="20"/>
          <w:szCs w:val="20"/>
          <w:highlight w:val="yellow"/>
        </w:rPr>
        <w:t>…</w:t>
      </w:r>
      <w:r w:rsidRPr="0037311D">
        <w:rPr>
          <w:rFonts w:ascii="Verdana" w:eastAsia="Times New Roman" w:hAnsi="Verdana" w:cs="Times New Roman"/>
          <w:sz w:val="20"/>
          <w:szCs w:val="20"/>
        </w:rPr>
        <w:t xml:space="preserve"> e che </w:t>
      </w:r>
      <w:r w:rsidR="004C249F" w:rsidRPr="004C249F">
        <w:rPr>
          <w:rFonts w:ascii="Verdana" w:eastAsia="Times New Roman" w:hAnsi="Verdana" w:cs="Times New Roman"/>
          <w:sz w:val="20"/>
          <w:szCs w:val="20"/>
          <w:highlight w:val="yellow"/>
        </w:rPr>
        <w:t>…</w:t>
      </w:r>
    </w:p>
    <w:p w14:paraId="6B0D343F" w14:textId="77777777" w:rsidR="00CC69DC" w:rsidRDefault="00CC69DC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785E5A27" w14:textId="5D44AD7B" w:rsidR="00CC69DC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>Con</w:t>
      </w:r>
      <w:r w:rsidR="00CC69DC">
        <w:rPr>
          <w:rFonts w:ascii="Verdana" w:eastAsia="Times New Roman" w:hAnsi="Verdana" w:cs="Times New Roman"/>
          <w:sz w:val="20"/>
          <w:szCs w:val="20"/>
        </w:rPr>
        <w:t>siderati anche gli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 accordi e </w:t>
      </w:r>
      <w:r w:rsidR="00CC69DC">
        <w:rPr>
          <w:rFonts w:ascii="Verdana" w:eastAsia="Times New Roman" w:hAnsi="Verdana" w:cs="Times New Roman"/>
          <w:sz w:val="20"/>
          <w:szCs w:val="20"/>
        </w:rPr>
        <w:t xml:space="preserve">le </w:t>
      </w:r>
      <w:r w:rsidRPr="008B15C1">
        <w:rPr>
          <w:rFonts w:ascii="Verdana" w:eastAsia="Times New Roman" w:hAnsi="Verdana" w:cs="Times New Roman"/>
          <w:sz w:val="20"/>
          <w:szCs w:val="20"/>
        </w:rPr>
        <w:t>convenzioni stipulat</w:t>
      </w:r>
      <w:r w:rsidR="003E459E">
        <w:rPr>
          <w:rFonts w:ascii="Verdana" w:eastAsia="Times New Roman" w:hAnsi="Verdana" w:cs="Times New Roman"/>
          <w:sz w:val="20"/>
          <w:szCs w:val="20"/>
        </w:rPr>
        <w:t>e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 fra </w:t>
      </w:r>
      <w:r w:rsidR="004C249F" w:rsidRPr="004C249F">
        <w:rPr>
          <w:rFonts w:ascii="Verdana" w:eastAsia="Times New Roman" w:hAnsi="Verdana" w:cs="Times New Roman"/>
          <w:sz w:val="20"/>
          <w:szCs w:val="20"/>
          <w:highlight w:val="yellow"/>
        </w:rPr>
        <w:t>…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 e </w:t>
      </w:r>
      <w:r w:rsidR="004C249F" w:rsidRPr="004C249F">
        <w:rPr>
          <w:rFonts w:ascii="Verdana" w:eastAsia="Times New Roman" w:hAnsi="Verdana" w:cs="Times New Roman"/>
          <w:sz w:val="20"/>
          <w:szCs w:val="20"/>
          <w:highlight w:val="yellow"/>
        </w:rPr>
        <w:t>…</w:t>
      </w:r>
      <w:r w:rsidR="00442791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CC69DC">
        <w:rPr>
          <w:rFonts w:ascii="Verdana" w:eastAsia="Times New Roman" w:hAnsi="Verdana" w:cs="Times New Roman"/>
          <w:sz w:val="20"/>
          <w:szCs w:val="20"/>
        </w:rPr>
        <w:t>e tenuto conto del</w:t>
      </w:r>
      <w:r w:rsidRPr="008B15C1">
        <w:rPr>
          <w:rFonts w:ascii="Verdana" w:eastAsia="Times New Roman" w:hAnsi="Verdana" w:cs="Times New Roman"/>
          <w:sz w:val="20"/>
          <w:szCs w:val="20"/>
        </w:rPr>
        <w:t>le disposizioni di cui al D.</w:t>
      </w:r>
      <w:r w:rsidR="0037311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Lgs. 196/2003 – Codice in materia di protezione dei dati personali e al Regolamento (UE) 2016/679 – Regolamento generale sulla protezione dei dati personali, </w:t>
      </w:r>
    </w:p>
    <w:p w14:paraId="0E5926F3" w14:textId="77777777" w:rsidR="00CC69DC" w:rsidRDefault="00CC69DC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4B2C832D" w14:textId="4229A8F2" w:rsidR="008B15C1" w:rsidRPr="008B15C1" w:rsidRDefault="00CC69DC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C</w:t>
      </w:r>
      <w:r w:rsidR="008B15C1" w:rsidRPr="008B15C1">
        <w:rPr>
          <w:rFonts w:ascii="Verdana" w:eastAsia="Times New Roman" w:hAnsi="Verdana" w:cs="Times New Roman"/>
          <w:sz w:val="20"/>
          <w:szCs w:val="20"/>
        </w:rPr>
        <w:t>onsiderato che</w:t>
      </w:r>
      <w:r w:rsidR="008B15C1" w:rsidRPr="008B15C1">
        <w:rPr>
          <w:rFonts w:ascii="Verdana" w:eastAsia="Times New Roman" w:hAnsi="Verdana" w:cs="Times New Roman"/>
          <w:color w:val="000000"/>
          <w:sz w:val="20"/>
          <w:szCs w:val="20"/>
        </w:rPr>
        <w:t xml:space="preserve"> il Politecnico di Milano </w:t>
      </w:r>
      <w:r w:rsidR="008B15C1" w:rsidRPr="008B15C1">
        <w:rPr>
          <w:rFonts w:ascii="Verdana" w:eastAsia="Times New Roman" w:hAnsi="Verdana" w:cs="Times New Roman"/>
          <w:sz w:val="20"/>
          <w:szCs w:val="20"/>
        </w:rPr>
        <w:t xml:space="preserve">offre idonea garanzia del rispetto delle vigenti disposizioni in materia di trattamento dei dati personali, </w:t>
      </w:r>
      <w:r w:rsidR="004C249F" w:rsidRPr="004C249F">
        <w:rPr>
          <w:rFonts w:ascii="Verdana" w:eastAsia="Times New Roman" w:hAnsi="Verdana" w:cs="Times New Roman"/>
          <w:sz w:val="20"/>
          <w:szCs w:val="20"/>
          <w:highlight w:val="yellow"/>
        </w:rPr>
        <w:t>…</w:t>
      </w:r>
      <w:r w:rsidR="004C249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8B15C1" w:rsidRPr="008B15C1">
        <w:rPr>
          <w:rFonts w:ascii="Verdana" w:eastAsia="Times New Roman" w:hAnsi="Verdana" w:cs="Times New Roman"/>
          <w:sz w:val="20"/>
          <w:szCs w:val="20"/>
        </w:rPr>
        <w:t>, in qualità di titolare del trattamento</w:t>
      </w:r>
    </w:p>
    <w:p w14:paraId="05B13DCD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7B9C9CE3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>nomina</w:t>
      </w:r>
    </w:p>
    <w:p w14:paraId="423BB23E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0731BF15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color w:val="000000"/>
          <w:sz w:val="20"/>
          <w:szCs w:val="20"/>
        </w:rPr>
        <w:t>Politecnico di Milano</w:t>
      </w:r>
      <w:r w:rsidRPr="008B15C1">
        <w:rPr>
          <w:rFonts w:ascii="Verdana" w:eastAsia="Times New Roman" w:hAnsi="Verdana" w:cs="Times New Roman"/>
          <w:sz w:val="20"/>
          <w:szCs w:val="20"/>
        </w:rPr>
        <w:t>, ai sensi e per gli effetti dell'art. 28 del Regolamento (UE) 2016/679, “</w:t>
      </w:r>
      <w:r w:rsidRPr="008B15C1">
        <w:rPr>
          <w:rFonts w:ascii="Verdana" w:eastAsia="Times New Roman" w:hAnsi="Verdana" w:cs="Times New Roman"/>
          <w:b/>
          <w:sz w:val="20"/>
          <w:szCs w:val="20"/>
        </w:rPr>
        <w:t>Responsabile del trattamento dei dati personali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” per i trattamenti </w:t>
      </w:r>
      <w:r w:rsidR="00F549B6">
        <w:rPr>
          <w:rFonts w:ascii="Verdana" w:eastAsia="Times New Roman" w:hAnsi="Verdana" w:cs="Times New Roman"/>
          <w:sz w:val="20"/>
          <w:szCs w:val="20"/>
        </w:rPr>
        <w:t>nell’A</w:t>
      </w:r>
      <w:r w:rsidRPr="008B15C1">
        <w:rPr>
          <w:rFonts w:ascii="Verdana" w:eastAsia="Times New Roman" w:hAnsi="Verdana" w:cs="Times New Roman"/>
          <w:sz w:val="20"/>
          <w:szCs w:val="20"/>
        </w:rPr>
        <w:t>llegato</w:t>
      </w:r>
      <w:r w:rsidR="00F549B6">
        <w:rPr>
          <w:rFonts w:ascii="Verdana" w:eastAsia="Times New Roman" w:hAnsi="Verdana" w:cs="Times New Roman"/>
          <w:sz w:val="20"/>
          <w:szCs w:val="20"/>
        </w:rPr>
        <w:t xml:space="preserve"> 1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. </w:t>
      </w:r>
    </w:p>
    <w:p w14:paraId="1A7C31D8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2990DB33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>I trattamenti dovranno essere effettuati nell’ambito delle finalità e dei compiti affidati al responsabile esterno, secondo modalità connesse a tale scopo.</w:t>
      </w:r>
    </w:p>
    <w:p w14:paraId="3536020E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>Il trattamento dei dati dovrà limitarsi alle operazioni strettamente necessarie per assicurare il conseguime</w:t>
      </w:r>
      <w:r w:rsidR="00F549B6">
        <w:rPr>
          <w:rFonts w:ascii="Verdana" w:eastAsia="Times New Roman" w:hAnsi="Verdana" w:cs="Times New Roman"/>
          <w:sz w:val="20"/>
          <w:szCs w:val="20"/>
        </w:rPr>
        <w:t>nto delle finalità stabilite nell’A</w:t>
      </w:r>
      <w:r w:rsidRPr="008B15C1">
        <w:rPr>
          <w:rFonts w:ascii="Verdana" w:eastAsia="Times New Roman" w:hAnsi="Verdana" w:cs="Times New Roman"/>
          <w:sz w:val="20"/>
          <w:szCs w:val="20"/>
        </w:rPr>
        <w:t>llegato</w:t>
      </w:r>
      <w:r w:rsidR="00F549B6">
        <w:rPr>
          <w:rFonts w:ascii="Verdana" w:eastAsia="Times New Roman" w:hAnsi="Verdana" w:cs="Times New Roman"/>
          <w:sz w:val="20"/>
          <w:szCs w:val="20"/>
        </w:rPr>
        <w:t xml:space="preserve"> 1</w:t>
      </w:r>
      <w:r w:rsidRPr="008B15C1">
        <w:rPr>
          <w:rFonts w:ascii="Verdana" w:eastAsia="Times New Roman" w:hAnsi="Verdana" w:cs="Times New Roman"/>
          <w:sz w:val="20"/>
          <w:szCs w:val="20"/>
        </w:rPr>
        <w:t>.</w:t>
      </w:r>
    </w:p>
    <w:p w14:paraId="73F99458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color w:val="000000"/>
          <w:sz w:val="20"/>
          <w:szCs w:val="20"/>
        </w:rPr>
        <w:t xml:space="preserve">Il Politecnico di Milano </w:t>
      </w:r>
      <w:r w:rsidRPr="008B15C1">
        <w:rPr>
          <w:rFonts w:ascii="Verdana" w:eastAsia="Times New Roman" w:hAnsi="Verdana" w:cs="Times New Roman"/>
          <w:sz w:val="20"/>
          <w:szCs w:val="20"/>
        </w:rPr>
        <w:t>dovrà adottare tutte le misure di sicurezza idonee a preservare i dati trattati da perdite, danneggiamenti e accessi non autorizzati, limitatamente ai poteri e doveri conferiti a seguito dei rapporti in essere.</w:t>
      </w:r>
    </w:p>
    <w:p w14:paraId="48BCFC30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15239FF9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>I dati saranno trattati soltanto da soggetti specificatamente autorizzati dal Politecnico di Milano che dovranno utilizzarli in esecuzione delle prestazion</w:t>
      </w:r>
      <w:r w:rsidR="00F549B6">
        <w:rPr>
          <w:rFonts w:ascii="Verdana" w:eastAsia="Times New Roman" w:hAnsi="Verdana" w:cs="Times New Roman"/>
          <w:sz w:val="20"/>
          <w:szCs w:val="20"/>
        </w:rPr>
        <w:t>i in oggetto e come definite nell’A</w:t>
      </w:r>
      <w:r w:rsidRPr="008B15C1">
        <w:rPr>
          <w:rFonts w:ascii="Verdana" w:eastAsia="Times New Roman" w:hAnsi="Verdana" w:cs="Times New Roman"/>
          <w:sz w:val="20"/>
          <w:szCs w:val="20"/>
        </w:rPr>
        <w:t>llegato</w:t>
      </w:r>
      <w:r w:rsidR="00F549B6">
        <w:rPr>
          <w:rFonts w:ascii="Verdana" w:eastAsia="Times New Roman" w:hAnsi="Verdana" w:cs="Times New Roman"/>
          <w:sz w:val="20"/>
          <w:szCs w:val="20"/>
        </w:rPr>
        <w:t xml:space="preserve"> 1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. Il Politecnico </w:t>
      </w:r>
      <w:r w:rsidRPr="008B15C1">
        <w:rPr>
          <w:rFonts w:ascii="Verdana" w:eastAsia="Times New Roman" w:hAnsi="Verdana" w:cs="Times New Roman"/>
          <w:color w:val="000000"/>
          <w:sz w:val="20"/>
          <w:szCs w:val="20"/>
        </w:rPr>
        <w:t>garantisce che tali soggetti sono impegnati alla riservatezza e/o sussiste un adeguato obbligo legale di riservatezza. Il Politecnico di Milano si impegna a</w:t>
      </w:r>
      <w:r w:rsidRPr="008B15C1">
        <w:rPr>
          <w:rFonts w:ascii="Verdana" w:eastAsia="Times New Roman" w:hAnsi="Verdana" w:cs="Times New Roman"/>
          <w:sz w:val="20"/>
          <w:szCs w:val="20"/>
        </w:rPr>
        <w:t xml:space="preserve"> fornire tutte le istruzioni necessarie alla corretta gestione dei dati personali. Il personale dipendente o i collaboratori che saranno autorizzati a svolgere le prestazioni in oggetto dovranno assicurare la massima serietà e affidabilità.</w:t>
      </w:r>
    </w:p>
    <w:p w14:paraId="12BCC177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6E56B9EF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>Si rappresenta inoltre l’obbligo per il Politecnico di Milano di impegnarsi a formare il personale interno alla propria struttura, così da renderlo edotto circa i principi di riservatezza imposti dal Regolamento (UE) 2016/679, fornendo istruzioni idonee per trattare i dati nell’ambito delle mansioni assegnate, monitorando il corretto adempimento delle istruzioni impartite.</w:t>
      </w:r>
    </w:p>
    <w:p w14:paraId="1027FF83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6981F777" w14:textId="77777777" w:rsid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 xml:space="preserve">Si rappresenta altresì l’obbligo per </w:t>
      </w:r>
      <w:r w:rsidRPr="008B15C1">
        <w:rPr>
          <w:rFonts w:ascii="Verdana" w:eastAsia="Times New Roman" w:hAnsi="Verdana" w:cs="Times New Roman"/>
          <w:color w:val="000000"/>
          <w:sz w:val="20"/>
          <w:szCs w:val="20"/>
        </w:rPr>
        <w:t xml:space="preserve">il Politecnico di Milano </w:t>
      </w:r>
      <w:r w:rsidRPr="008B15C1">
        <w:rPr>
          <w:rFonts w:ascii="Verdana" w:eastAsia="Times New Roman" w:hAnsi="Verdana" w:cs="Times New Roman"/>
          <w:sz w:val="20"/>
          <w:szCs w:val="20"/>
        </w:rPr>
        <w:t>di impegnarsi, e impegnare i soggetti autorizzati, a quanto segue:</w:t>
      </w:r>
    </w:p>
    <w:p w14:paraId="39FF76E2" w14:textId="77777777" w:rsidR="00057C4C" w:rsidRPr="008B15C1" w:rsidRDefault="00057C4C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18809019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trattare i dati personali conosciuti anche indirettamente e/o incidentalmente in virtù dell’esecuzione degli obblighi scaturenti da accordi e convenzioni in essere, nel rispetto dei principi di cui agli artt. 5 e seguenti del Regolamento (UE) 2016/679;</w:t>
      </w:r>
    </w:p>
    <w:p w14:paraId="1724DA50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trattare i dati personali secondo le istruzioni impartite dal titolare e esclusivamente per le finalità previste da accordi e convenzioni in essere;</w:t>
      </w:r>
    </w:p>
    <w:p w14:paraId="7BD7F09F" w14:textId="772CFBEB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adottare tutte le misure idonee a tutelare i dati personali oggetto del trattamento nel rispetto del D.</w:t>
      </w:r>
      <w:r w:rsid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Lgs. 196/2003 e del Regolamento (UE) 2016/679 (Capo IV);</w:t>
      </w:r>
    </w:p>
    <w:p w14:paraId="274110D2" w14:textId="09E242DA" w:rsidR="008B15C1" w:rsidRPr="00A60A09" w:rsidRDefault="008B15C1" w:rsidP="00057C4C">
      <w:pPr>
        <w:pStyle w:val="Paragrafoelenco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rispettare quanto previsto dal Regolamento (UE) 2016/679 non solo in tema di misure di </w:t>
      </w:r>
      <w:r w:rsidRPr="00A60A09">
        <w:rPr>
          <w:rFonts w:ascii="Verdana" w:eastAsia="Times New Roman" w:hAnsi="Verdana" w:cs="Times New Roman"/>
          <w:sz w:val="20"/>
          <w:szCs w:val="20"/>
          <w:lang w:eastAsia="it-IT"/>
        </w:rPr>
        <w:t>sicurezza, ma anche in relazione ai principi generali in esso stabiliti</w:t>
      </w:r>
      <w:r w:rsidR="00057C4C" w:rsidRPr="00A60A0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. </w:t>
      </w:r>
      <w:r w:rsidR="0037311D">
        <w:rPr>
          <w:rFonts w:ascii="Verdana" w:eastAsia="Times New Roman" w:hAnsi="Verdana" w:cs="Times New Roman"/>
          <w:sz w:val="20"/>
          <w:szCs w:val="20"/>
          <w:lang w:eastAsia="it-IT"/>
        </w:rPr>
        <w:t>I</w:t>
      </w:r>
      <w:r w:rsidR="00057C4C" w:rsidRPr="00A60A0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l Responsabile del trattamento </w:t>
      </w:r>
      <w:r w:rsidR="000531AE">
        <w:rPr>
          <w:rFonts w:ascii="Verdana" w:eastAsia="Times New Roman" w:hAnsi="Verdana" w:cs="Times New Roman"/>
          <w:sz w:val="20"/>
          <w:szCs w:val="20"/>
          <w:lang w:eastAsia="it-IT"/>
        </w:rPr>
        <w:t>adotta</w:t>
      </w:r>
      <w:r w:rsidR="00057C4C" w:rsidRPr="00A60A0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misure tecniche ed organizzative adeguate</w:t>
      </w:r>
      <w:r w:rsidR="00840440" w:rsidRPr="00A60A0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nelle operazioni </w:t>
      </w:r>
      <w:r w:rsidR="001C7A18" w:rsidRPr="00A60A0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di </w:t>
      </w:r>
      <w:r w:rsidR="001C7A18" w:rsidRPr="00A60A09">
        <w:rPr>
          <w:rFonts w:ascii="Verdana" w:eastAsia="Times New Roman" w:hAnsi="Verdana" w:cs="Times New Roman"/>
          <w:sz w:val="20"/>
          <w:szCs w:val="20"/>
          <w:lang w:eastAsia="it-IT"/>
        </w:rPr>
        <w:lastRenderedPageBreak/>
        <w:t>trattamento</w:t>
      </w:r>
      <w:r w:rsidR="00057C4C" w:rsidRPr="00A60A09">
        <w:rPr>
          <w:rFonts w:ascii="Verdana" w:eastAsia="Times New Roman" w:hAnsi="Verdana" w:cs="Times New Roman"/>
          <w:sz w:val="20"/>
          <w:szCs w:val="20"/>
          <w:lang w:eastAsia="it-IT"/>
        </w:rPr>
        <w:t xml:space="preserve">, prevedendo l’adozione delle misure previste dalla Circolare n. 2 del 18 aprile 2017 recante “Misure minime di sicurezza ICT per le pubbliche amministrazioni”, così come illustrato nell’Allegato </w:t>
      </w:r>
      <w:r w:rsidR="001C7A18" w:rsidRPr="00A60A09">
        <w:rPr>
          <w:rFonts w:ascii="Verdana" w:eastAsia="Times New Roman" w:hAnsi="Verdana" w:cs="Times New Roman"/>
          <w:sz w:val="20"/>
          <w:szCs w:val="20"/>
          <w:lang w:eastAsia="it-IT"/>
        </w:rPr>
        <w:t>2</w:t>
      </w:r>
      <w:r w:rsidR="000531AE">
        <w:rPr>
          <w:rFonts w:ascii="Verdana" w:eastAsia="Times New Roman" w:hAnsi="Verdana" w:cs="Times New Roman"/>
          <w:sz w:val="20"/>
          <w:szCs w:val="20"/>
          <w:lang w:eastAsia="it-IT"/>
        </w:rPr>
        <w:t>, garantendone la implementazione e l’applicazione nei confronti del Titolare del trattamento</w:t>
      </w:r>
      <w:r w:rsidR="00057C4C" w:rsidRPr="00A60A09">
        <w:rPr>
          <w:rFonts w:ascii="Verdana" w:eastAsia="Times New Roman" w:hAnsi="Verdana" w:cs="Times New Roman"/>
          <w:sz w:val="20"/>
          <w:szCs w:val="20"/>
          <w:lang w:eastAsia="it-IT"/>
        </w:rPr>
        <w:t>;</w:t>
      </w:r>
    </w:p>
    <w:p w14:paraId="0A3DE502" w14:textId="33736DAC" w:rsidR="0037311D" w:rsidRPr="004C249F" w:rsidRDefault="00220DFA" w:rsidP="00A60A09">
      <w:pPr>
        <w:pStyle w:val="Paragrafoelenco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il Responsabile del trattamento </w:t>
      </w:r>
      <w:r w:rsidR="00E40C53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in ottemperanza al </w:t>
      </w:r>
      <w:r w:rsidR="00A60A09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proprio </w:t>
      </w:r>
      <w:r w:rsidR="00E40C53" w:rsidRPr="0037311D">
        <w:rPr>
          <w:rFonts w:ascii="Verdana" w:eastAsia="Times New Roman" w:hAnsi="Verdana" w:cs="Times New Roman"/>
          <w:sz w:val="20"/>
          <w:szCs w:val="20"/>
          <w:lang w:eastAsia="it-IT"/>
        </w:rPr>
        <w:t>modello organizzativo privacy del Politecnico di Milano</w:t>
      </w:r>
      <w:r w:rsidR="00A60A09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adottato con Decreto Direttore Generale n. 7229 del 20 ottobre 2020 recante  “Modifiche apportate al Modello organizzativo privacy del Politecnico di Milano”; </w:t>
      </w:r>
      <w:r w:rsidR="00E40C53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e in conformità al Provvedimento generale del Garante per la protezione dei dati</w:t>
      </w:r>
      <w:r w:rsidR="000531AE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="00E40C53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personali del 27 novembre 2008 “Misure e accorgimenti prescritti ai titolari dei trattamenti effettuati con strumenti elettronici relativamente alle attribuzioni delle funzioni di amministratore di sistema”, così come modificato dal Provvedimento del Garante del 25 giugno 2009, e ad ogni altro pertinente provvedimento dell’Autorità </w:t>
      </w:r>
      <w:r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ha </w:t>
      </w:r>
      <w:r w:rsidR="00A60A09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valutato di </w:t>
      </w:r>
      <w:r w:rsidRPr="0037311D">
        <w:rPr>
          <w:rFonts w:ascii="Verdana" w:eastAsia="Times New Roman" w:hAnsi="Verdana" w:cs="Times New Roman"/>
          <w:sz w:val="20"/>
          <w:szCs w:val="20"/>
          <w:lang w:eastAsia="it-IT"/>
        </w:rPr>
        <w:t>nominare</w:t>
      </w:r>
      <w:r w:rsidR="00E40C53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per i suoi </w:t>
      </w:r>
      <w:r w:rsidR="00A60A09" w:rsidRPr="0037311D">
        <w:rPr>
          <w:rFonts w:ascii="Verdana" w:eastAsia="Times New Roman" w:hAnsi="Verdana" w:cs="Times New Roman"/>
          <w:sz w:val="20"/>
          <w:szCs w:val="20"/>
          <w:lang w:eastAsia="it-IT"/>
        </w:rPr>
        <w:t>servizi di ICT gli amministratori di sistema</w:t>
      </w:r>
      <w:r w:rsidR="000531AE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, </w:t>
      </w:r>
      <w:r w:rsidR="00276164" w:rsidRPr="0037311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che svolgeranno questo ruolo nell’ambito dei servizi messi a </w:t>
      </w:r>
      <w:r w:rsidR="00276164" w:rsidRPr="004C249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disposizione </w:t>
      </w:r>
      <w:r w:rsidR="00976B6E" w:rsidRPr="004C249F">
        <w:rPr>
          <w:rFonts w:ascii="Verdana" w:eastAsia="Times New Roman" w:hAnsi="Verdana" w:cs="Times New Roman"/>
          <w:sz w:val="20"/>
          <w:szCs w:val="20"/>
          <w:lang w:eastAsia="it-IT"/>
        </w:rPr>
        <w:t>al</w:t>
      </w:r>
      <w:r w:rsidR="00276164" w:rsidRPr="004C249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="0037311D" w:rsidRPr="004C249F">
        <w:rPr>
          <w:rFonts w:ascii="Verdana" w:eastAsia="Times New Roman" w:hAnsi="Verdana" w:cs="Times New Roman"/>
          <w:sz w:val="20"/>
          <w:szCs w:val="20"/>
          <w:lang w:eastAsia="it-IT"/>
        </w:rPr>
        <w:t>Titolare;</w:t>
      </w:r>
    </w:p>
    <w:p w14:paraId="1C2920C9" w14:textId="511CC1A2" w:rsidR="00220DFA" w:rsidRPr="00A3698F" w:rsidRDefault="0037311D" w:rsidP="00AF5F57">
      <w:pPr>
        <w:pStyle w:val="Paragrafoelenco"/>
        <w:numPr>
          <w:ilvl w:val="0"/>
          <w:numId w:val="1"/>
        </w:numPr>
        <w:spacing w:after="0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it-IT"/>
        </w:rPr>
      </w:pP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per quanto concerne i servizi di posta elettronica e di internet, </w:t>
      </w:r>
      <w:r w:rsidR="004C249F" w:rsidRPr="004C249F">
        <w:rPr>
          <w:rFonts w:ascii="Verdana" w:eastAsia="Times New Roman" w:hAnsi="Verdana" w:cs="Times New Roman"/>
          <w:sz w:val="20"/>
          <w:szCs w:val="20"/>
          <w:highlight w:val="yellow"/>
          <w:lang w:eastAsia="it-IT"/>
        </w:rPr>
        <w:t>…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adotta le stesse prescrizioni previste </w:t>
      </w:r>
      <w:r w:rsidR="00574B04" w:rsidRPr="004C249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specificatamente per tali servizi 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dal </w:t>
      </w:r>
      <w:r w:rsidR="00AF5F57" w:rsidRPr="004C249F">
        <w:rPr>
          <w:rFonts w:ascii="Verdana" w:eastAsia="Times New Roman" w:hAnsi="Verdana" w:cs="Times New Roman"/>
          <w:sz w:val="20"/>
          <w:szCs w:val="20"/>
          <w:lang w:eastAsia="it-IT"/>
        </w:rPr>
        <w:t>“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>Regolamento</w:t>
      </w:r>
      <w:r w:rsidR="00AF5F57" w:rsidRPr="004C249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del Politecnico di Milano in materia di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protezione dei dati personali </w:t>
      </w:r>
      <w:r w:rsidR="00AF5F57" w:rsidRPr="004C249F">
        <w:rPr>
          <w:rFonts w:ascii="Verdana" w:eastAsia="Times New Roman" w:hAnsi="Verdana" w:cs="Times New Roman"/>
          <w:sz w:val="20"/>
          <w:szCs w:val="20"/>
          <w:lang w:eastAsia="it-IT"/>
        </w:rPr>
        <w:t>e della sicurezza ICT” adottato con Decreto del Rettore, Rep. n. 6761 del 06.10.2020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e</w:t>
      </w:r>
      <w:r w:rsidR="00AF5F57" w:rsidRPr="004C249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le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relative </w:t>
      </w:r>
      <w:r w:rsidR="00AF5F57" w:rsidRPr="004C249F">
        <w:rPr>
          <w:rFonts w:ascii="Verdana" w:eastAsia="Times New Roman" w:hAnsi="Verdana" w:cs="Times New Roman"/>
          <w:sz w:val="20"/>
          <w:szCs w:val="20"/>
          <w:lang w:eastAsia="it-IT"/>
        </w:rPr>
        <w:t>“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>Istruzioni operative</w:t>
      </w:r>
      <w:r w:rsidR="00AF5F57" w:rsidRPr="004C249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per il trattamento dei dati personali” adottate con D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>ecreto</w:t>
      </w:r>
      <w:r w:rsidR="00AF5F57" w:rsidRPr="004C249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del Direttore Generale, Rep. n. 7230 del </w:t>
      </w:r>
      <w:r w:rsidR="00EE4EF4" w:rsidRPr="004C249F">
        <w:rPr>
          <w:rFonts w:ascii="Verdana" w:eastAsia="Times New Roman" w:hAnsi="Verdana" w:cs="Times New Roman"/>
          <w:sz w:val="20"/>
          <w:szCs w:val="20"/>
          <w:lang w:eastAsia="it-IT"/>
        </w:rPr>
        <w:t>20.10.2020</w:t>
      </w:r>
      <w:r w:rsidRPr="00A3698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, disponibili al link: </w:t>
      </w:r>
      <w:hyperlink r:id="rId11" w:history="1">
        <w:r w:rsidR="00AF5F57" w:rsidRPr="00A3698F">
          <w:rPr>
            <w:rStyle w:val="Collegamentoipertestuale"/>
          </w:rPr>
          <w:t>www.normativa.polimi.it</w:t>
        </w:r>
      </w:hyperlink>
      <w:r w:rsidRPr="00A3698F">
        <w:rPr>
          <w:rFonts w:ascii="Verdana" w:eastAsia="Times New Roman" w:hAnsi="Verdana" w:cs="Times New Roman"/>
          <w:color w:val="FF0000"/>
          <w:sz w:val="20"/>
          <w:szCs w:val="20"/>
          <w:lang w:eastAsia="it-IT"/>
        </w:rPr>
        <w:t>.</w:t>
      </w:r>
    </w:p>
    <w:p w14:paraId="062F1E29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i dati personali conosciuti non dovranno essere diffusi o trasmessi a terzi salvo i casi in cui, con l’autorizzazione scritta e secondo le indicazioni dell’Ateneo ciò sia necessario all’esecuzione dei trattamenti previsti dal contratto;</w:t>
      </w:r>
    </w:p>
    <w:p w14:paraId="58A4C483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il Responsabile si impegna altresì a comunicare tempestivamente al Titolare eventuali criticità riscontrate in merito alla sicurezza dei dati, così da renderlo edotto circa eventuali rischi in merito alla sicurezza dei dati trattati; </w:t>
      </w:r>
    </w:p>
    <w:p w14:paraId="00313385" w14:textId="77777777" w:rsidR="000531AE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nel caso in cui il Responsabile, anche per il tramite delle persone autorizzate, riceva istanze di accesso ex art. 15 Regolamento (UE) 2016/679 o altre istanze dall’interessato, si impegna a comunicarle tempestivamente per iscritto e comunque non oltre un giorno dalla ricezione, coadiuvandolo, ove necessario, a fornire un riscontro nei termini di legge;</w:t>
      </w:r>
    </w:p>
    <w:p w14:paraId="745C6BAE" w14:textId="41474168" w:rsidR="00153582" w:rsidRPr="00153582" w:rsidRDefault="00153582" w:rsidP="0015358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53582">
        <w:rPr>
          <w:rFonts w:ascii="Calibri" w:eastAsia="Times New Roman" w:hAnsi="Calibri" w:cs="Calibri"/>
          <w:color w:val="000000"/>
          <w:lang w:eastAsia="it-IT"/>
        </w:rPr>
        <w:t>il Responsabile si impegna ad assistere il Titolare in caso di audit</w:t>
      </w:r>
    </w:p>
    <w:p w14:paraId="4629137F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il Responsabile, su richiesta del Titolare, si impegna a collaborare nell’ambito di eventuali procedimenti che dovessero intervenire dinnanzi all’Autorità Garante o all’Autorità Giudiziaria, mettendo a disposizione elementi documentali e probatori rientranti nella sua sfera di competenza; </w:t>
      </w:r>
    </w:p>
    <w:p w14:paraId="30DDDC15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secondo le indicazioni del Titolare, alla conclusione dei rapporti contrattuali in essere. Il Responsabile si impegna a distruggere e/o restituire e/o cancellare tutti i dati trattati per conto del Titolare, siano essi detenuti in formato cartaceo oppure informatico, e ciò senza pregiudizio alcuno per il Titolare o per gli interessati cui i dati si riferiscono. Si chiarisce che, anche alla scadenza del contratto, restano in vigore gli impegni di riservatezza e di segretezza dei dati in parola; </w:t>
      </w:r>
    </w:p>
    <w:p w14:paraId="4A50EF84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qualora il Responsabile, in considerazione delle modalità di esecuzione del servizio e previa autorizzazione scritta del Titolare, ricorra ad altro Responsabile dovrà formalizzarne la nomina imponendogli il rispetto degli stessi oneri cui il medesimo si assume con il vincolo della presente nomina;</w:t>
      </w:r>
    </w:p>
    <w:p w14:paraId="1E016549" w14:textId="77777777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>il Responsabile è fin d'ora reso edotto che la violazione degli obblighi normativi in materia di tutela dei dati personali può comportare conseguenze civili e penali;</w:t>
      </w:r>
    </w:p>
    <w:p w14:paraId="36975C30" w14:textId="678DEF76" w:rsidR="008B15C1" w:rsidRPr="00057C4C" w:rsidRDefault="008B15C1" w:rsidP="00057C4C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si impegna a comunicare tempestivamente eventuali </w:t>
      </w:r>
      <w:r w:rsidRPr="00057C4C">
        <w:rPr>
          <w:rFonts w:ascii="Verdana" w:eastAsia="Times New Roman" w:hAnsi="Verdana" w:cs="Times New Roman"/>
          <w:i/>
          <w:sz w:val="20"/>
          <w:szCs w:val="20"/>
          <w:lang w:eastAsia="it-IT"/>
        </w:rPr>
        <w:t>data breach</w:t>
      </w: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all’indirizzo mail </w:t>
      </w:r>
      <w:hyperlink r:id="rId12" w:history="1">
        <w:r w:rsidR="000531AE" w:rsidRPr="00E560FC">
          <w:rPr>
            <w:rStyle w:val="Collegamentoipertestuale"/>
            <w:rFonts w:ascii="Verdana" w:eastAsia="Times New Roman" w:hAnsi="Verdana" w:cs="Times New Roman"/>
            <w:sz w:val="20"/>
            <w:szCs w:val="20"/>
            <w:lang w:eastAsia="it-IT"/>
          </w:rPr>
          <w:t>mmaggi@maggilegal.it</w:t>
        </w:r>
      </w:hyperlink>
      <w:r w:rsidR="000531AE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e michela.maggi@milano.pecavvocati.it</w:t>
      </w:r>
      <w:r w:rsidRPr="00057C4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nel più breve tempo possibile e, in ogni caso, non oltre 24 ore dalla scoperta. La comunicazione dovrà indicare ogni elemento utile a contestualizzare il data breach quali: tipo di data breach, dati coinvolti e loro tipologia (compreso il loro livello di protezione), interessati coinvolti, potenziali danni per gli interessati, etc.</w:t>
      </w:r>
    </w:p>
    <w:p w14:paraId="67B87FE4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2C0F4198" w14:textId="222D32D0" w:rsidR="008B15C1" w:rsidRPr="008B15C1" w:rsidRDefault="004C249F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4C249F">
        <w:rPr>
          <w:rFonts w:ascii="Verdana" w:eastAsia="Times New Roman" w:hAnsi="Verdana" w:cs="Times New Roman"/>
          <w:sz w:val="20"/>
          <w:szCs w:val="20"/>
          <w:highlight w:val="yellow"/>
        </w:rPr>
        <w:t>…</w:t>
      </w:r>
      <w:r>
        <w:rPr>
          <w:rFonts w:ascii="Verdana" w:eastAsia="Times New Roman" w:hAnsi="Verdana" w:cs="Times New Roman"/>
          <w:sz w:val="20"/>
          <w:szCs w:val="20"/>
        </w:rPr>
        <w:t xml:space="preserve"> ,</w:t>
      </w:r>
      <w:r w:rsidR="008B15C1" w:rsidRPr="008B15C1">
        <w:rPr>
          <w:rFonts w:ascii="Verdana" w:eastAsia="Times New Roman" w:hAnsi="Verdana" w:cs="Times New Roman"/>
          <w:sz w:val="20"/>
          <w:szCs w:val="20"/>
        </w:rPr>
        <w:t xml:space="preserve"> in quanto titolare del trattamento dei dati, potrà, come previsto dal Regolamento (UE) 2016/679, esercitare vigilanza e controllo sulla puntuale osservanza delle istruzioni impartite e </w:t>
      </w:r>
      <w:r w:rsidR="008B15C1" w:rsidRPr="008B15C1">
        <w:rPr>
          <w:rFonts w:ascii="Verdana" w:eastAsia="Times New Roman" w:hAnsi="Verdana" w:cs="Times New Roman"/>
          <w:sz w:val="20"/>
          <w:szCs w:val="20"/>
        </w:rPr>
        <w:lastRenderedPageBreak/>
        <w:t>delle vigenti disposizioni in materia di trattamento dei dati personali da parte del Responsabile. La verifica</w:t>
      </w:r>
      <w:r w:rsidR="0037311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8B15C1" w:rsidRPr="008B15C1">
        <w:rPr>
          <w:rFonts w:ascii="Verdana" w:eastAsia="Times New Roman" w:hAnsi="Verdana" w:cs="Times New Roman"/>
          <w:sz w:val="20"/>
          <w:szCs w:val="20"/>
        </w:rPr>
        <w:t>tramite richiesta di idonea documentazione attestante la conformità alla normativa sulla protezione dei dati personali</w:t>
      </w:r>
      <w:r w:rsidR="000531AE">
        <w:rPr>
          <w:rFonts w:ascii="Verdana" w:eastAsia="Times New Roman" w:hAnsi="Verdana" w:cs="Times New Roman"/>
          <w:sz w:val="20"/>
          <w:szCs w:val="20"/>
        </w:rPr>
        <w:t xml:space="preserve"> ed eventuale altra documentazione occorrente per dimostrare l’ottemperanza agli obblighi di legge nei confronti delle autorità o di terzi</w:t>
      </w:r>
      <w:r w:rsidR="008B15C1" w:rsidRPr="008B15C1">
        <w:rPr>
          <w:rFonts w:ascii="Verdana" w:eastAsia="Times New Roman" w:hAnsi="Verdana" w:cs="Times New Roman"/>
          <w:sz w:val="20"/>
          <w:szCs w:val="20"/>
        </w:rPr>
        <w:t>.</w:t>
      </w:r>
    </w:p>
    <w:p w14:paraId="6054300B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18C40F4F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  <w:r w:rsidRPr="008B15C1">
        <w:rPr>
          <w:rFonts w:ascii="Verdana" w:eastAsia="Times New Roman" w:hAnsi="Verdana" w:cs="Times New Roman"/>
          <w:sz w:val="20"/>
          <w:szCs w:val="20"/>
        </w:rPr>
        <w:t>Resta inteso che la nomina del Politecnico di Milano a Responsabile esterno decadrà in qualunque caso di cessazione di contratti e convenzioni in essere per la gestione del servizio in oggetto, con effetto dalla data di tale cessazione.</w:t>
      </w:r>
    </w:p>
    <w:p w14:paraId="348C0019" w14:textId="77777777" w:rsid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79EC93F9" w14:textId="77777777" w:rsidR="00904425" w:rsidRDefault="00904425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03F5AFF2" w14:textId="77777777" w:rsidR="00904425" w:rsidRPr="008B15C1" w:rsidRDefault="00904425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p w14:paraId="036B8D64" w14:textId="77777777" w:rsidR="008B15C1" w:rsidRPr="008B15C1" w:rsidRDefault="008B15C1" w:rsidP="008B15C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8B15C1" w:rsidRPr="008B15C1" w14:paraId="25D836B1" w14:textId="77777777" w:rsidTr="3D2934E7">
        <w:tc>
          <w:tcPr>
            <w:tcW w:w="4605" w:type="dxa"/>
            <w:shd w:val="clear" w:color="auto" w:fill="auto"/>
          </w:tcPr>
          <w:p w14:paraId="501BEAD4" w14:textId="7B0706EA" w:rsidR="008B15C1" w:rsidRPr="008B15C1" w:rsidRDefault="004C249F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C249F">
              <w:rPr>
                <w:rFonts w:ascii="Verdana" w:eastAsia="Times New Roman" w:hAnsi="Verdana" w:cs="Times New Roman"/>
                <w:sz w:val="20"/>
                <w:szCs w:val="20"/>
                <w:highlight w:val="yellow"/>
              </w:rPr>
              <w:t>…</w:t>
            </w:r>
          </w:p>
          <w:p w14:paraId="5A0C9504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B15C1">
              <w:rPr>
                <w:rFonts w:ascii="Verdana" w:eastAsia="Times New Roman" w:hAnsi="Verdana" w:cs="Times New Roman"/>
                <w:sz w:val="20"/>
                <w:szCs w:val="20"/>
              </w:rPr>
              <w:t>Titolare del trattamento</w:t>
            </w:r>
          </w:p>
          <w:p w14:paraId="2FBD97AA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7702D1A" w14:textId="77777777" w:rsidR="008B15C1" w:rsidRPr="008B15C1" w:rsidRDefault="008B15C1" w:rsidP="00D006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57EF7D7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2F6D231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B15C1">
              <w:rPr>
                <w:rFonts w:ascii="Verdana" w:eastAsia="Times New Roman" w:hAnsi="Verdana" w:cs="Times New Roman"/>
                <w:sz w:val="20"/>
                <w:szCs w:val="20"/>
              </w:rPr>
              <w:t>-------------------------------------------</w:t>
            </w:r>
          </w:p>
          <w:p w14:paraId="41EA6889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8B9153A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B15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Politecnico di Milano</w:t>
            </w:r>
          </w:p>
          <w:p w14:paraId="4F703A85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B15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Responsabile del trattamento </w:t>
            </w:r>
          </w:p>
          <w:p w14:paraId="1F81E21A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808080"/>
                <w:sz w:val="20"/>
                <w:szCs w:val="20"/>
              </w:rPr>
            </w:pPr>
            <w:r>
              <w:br/>
            </w:r>
            <w:r>
              <w:br/>
            </w:r>
          </w:p>
          <w:p w14:paraId="54CBB47E" w14:textId="77777777" w:rsidR="008B15C1" w:rsidRPr="008B15C1" w:rsidRDefault="008B15C1" w:rsidP="008B15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B15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---------------------------------------------</w:t>
            </w:r>
          </w:p>
        </w:tc>
      </w:tr>
    </w:tbl>
    <w:p w14:paraId="72B6F3DF" w14:textId="77777777" w:rsidR="00DF580A" w:rsidRDefault="00DF580A"/>
    <w:p w14:paraId="6FB6AE77" w14:textId="77777777" w:rsidR="008B15C1" w:rsidRDefault="008B15C1"/>
    <w:p w14:paraId="4E500031" w14:textId="77777777" w:rsidR="008B15C1" w:rsidRDefault="008B15C1"/>
    <w:p w14:paraId="545495EF" w14:textId="77777777" w:rsidR="0037311D" w:rsidRDefault="0037311D"/>
    <w:p w14:paraId="4C08C332" w14:textId="77777777" w:rsidR="0037311D" w:rsidRDefault="0037311D"/>
    <w:p w14:paraId="0735390C" w14:textId="77777777" w:rsidR="0037311D" w:rsidRDefault="0037311D"/>
    <w:p w14:paraId="1FDA39B5" w14:textId="77777777" w:rsidR="0037311D" w:rsidRDefault="0037311D"/>
    <w:p w14:paraId="11E49F03" w14:textId="77777777" w:rsidR="0037311D" w:rsidRDefault="0037311D"/>
    <w:p w14:paraId="0AB4E9CB" w14:textId="77777777" w:rsidR="0037311D" w:rsidRDefault="0037311D"/>
    <w:p w14:paraId="5979D0F5" w14:textId="77777777" w:rsidR="0037311D" w:rsidRDefault="0037311D"/>
    <w:p w14:paraId="31523A65" w14:textId="77777777" w:rsidR="0037311D" w:rsidRDefault="0037311D"/>
    <w:p w14:paraId="3A97040B" w14:textId="77777777" w:rsidR="0037311D" w:rsidRDefault="0037311D"/>
    <w:p w14:paraId="4E82DB2F" w14:textId="77777777" w:rsidR="0037311D" w:rsidRDefault="0037311D"/>
    <w:p w14:paraId="2BEE9801" w14:textId="16EF2B5A" w:rsidR="0066794D" w:rsidRDefault="0066794D" w:rsidP="00A3698F">
      <w:pPr>
        <w:widowControl w:val="0"/>
        <w:suppressAutoHyphens/>
        <w:spacing w:after="0" w:line="360" w:lineRule="auto"/>
        <w:ind w:right="567"/>
        <w:jc w:val="right"/>
        <w:rPr>
          <w:rFonts w:ascii="Calibri" w:eastAsia="Times New Roman" w:hAnsi="Calibri" w:cs="Calibri"/>
          <w:b/>
          <w:i/>
          <w:sz w:val="24"/>
          <w:szCs w:val="24"/>
          <w:lang w:eastAsia="it-IT"/>
        </w:rPr>
      </w:pPr>
      <w:r>
        <w:rPr>
          <w:rFonts w:ascii="Calibri" w:eastAsia="Times New Roman" w:hAnsi="Calibri" w:cs="Calibri"/>
          <w:b/>
          <w:i/>
          <w:sz w:val="24"/>
          <w:szCs w:val="24"/>
          <w:lang w:eastAsia="it-IT"/>
        </w:rPr>
        <w:t>ALLEGATO 1</w:t>
      </w:r>
    </w:p>
    <w:p w14:paraId="7B4A295D" w14:textId="77777777" w:rsidR="0066794D" w:rsidRDefault="0066794D" w:rsidP="0066794D">
      <w:pPr>
        <w:widowControl w:val="0"/>
        <w:suppressAutoHyphens/>
        <w:spacing w:after="0" w:line="360" w:lineRule="auto"/>
        <w:ind w:right="567"/>
        <w:jc w:val="center"/>
        <w:rPr>
          <w:rFonts w:ascii="Calibri" w:eastAsia="Times New Roman" w:hAnsi="Calibri" w:cs="Calibri"/>
          <w:b/>
          <w:i/>
          <w:sz w:val="24"/>
          <w:szCs w:val="24"/>
          <w:lang w:eastAsia="it-IT"/>
        </w:rPr>
      </w:pPr>
    </w:p>
    <w:p w14:paraId="4BCF5E46" w14:textId="6D608C2D" w:rsidR="0066794D" w:rsidRPr="008B15C1" w:rsidRDefault="0066794D" w:rsidP="0066794D">
      <w:pPr>
        <w:widowControl w:val="0"/>
        <w:suppressAutoHyphens/>
        <w:spacing w:after="0" w:line="360" w:lineRule="auto"/>
        <w:ind w:right="567"/>
        <w:jc w:val="center"/>
        <w:rPr>
          <w:rFonts w:ascii="Calibri" w:eastAsia="Times New Roman" w:hAnsi="Calibri" w:cs="Calibri"/>
          <w:b/>
          <w:i/>
          <w:sz w:val="24"/>
          <w:szCs w:val="24"/>
          <w:lang w:eastAsia="it-IT"/>
        </w:rPr>
      </w:pPr>
      <w:r w:rsidRPr="008B15C1">
        <w:rPr>
          <w:rFonts w:ascii="Calibri" w:eastAsia="Times New Roman" w:hAnsi="Calibri" w:cs="Calibri"/>
          <w:b/>
          <w:i/>
          <w:sz w:val="24"/>
          <w:szCs w:val="24"/>
          <w:lang w:eastAsia="it-IT"/>
        </w:rPr>
        <w:t>DESCRIZIONE DEL TRATTAMENTO</w:t>
      </w:r>
    </w:p>
    <w:tbl>
      <w:tblPr>
        <w:tblStyle w:val="Grigliatabella"/>
        <w:tblpPr w:leftFromText="141" w:rightFromText="141" w:vertAnchor="text" w:horzAnchor="margin" w:tblpXSpec="right" w:tblpY="32"/>
        <w:tblW w:w="9781" w:type="dxa"/>
        <w:tblLayout w:type="fixed"/>
        <w:tblLook w:val="04A0" w:firstRow="1" w:lastRow="0" w:firstColumn="1" w:lastColumn="0" w:noHBand="0" w:noVBand="1"/>
      </w:tblPr>
      <w:tblGrid>
        <w:gridCol w:w="3260"/>
        <w:gridCol w:w="6521"/>
      </w:tblGrid>
      <w:tr w:rsidR="0066794D" w:rsidRPr="008B15C1" w14:paraId="6CC65DBF" w14:textId="77777777" w:rsidTr="00806B53">
        <w:trPr>
          <w:trHeight w:val="2083"/>
        </w:trPr>
        <w:tc>
          <w:tcPr>
            <w:tcW w:w="3260" w:type="dxa"/>
            <w:vAlign w:val="center"/>
          </w:tcPr>
          <w:p w14:paraId="0F47A4E3" w14:textId="77777777" w:rsidR="0066794D" w:rsidRPr="008B15C1" w:rsidRDefault="0066794D" w:rsidP="00806B53">
            <w:pPr>
              <w:widowControl w:val="0"/>
              <w:suppressAutoHyphens/>
              <w:ind w:right="175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  <w:b/>
                <w:color w:val="000000"/>
                <w:u w:val="single"/>
              </w:rPr>
              <w:t xml:space="preserve">FINALITÀ DEL TRATTAMENTO </w:t>
            </w:r>
          </w:p>
          <w:p w14:paraId="4A8D46C6" w14:textId="77777777" w:rsidR="0066794D" w:rsidRPr="008B15C1" w:rsidRDefault="0066794D" w:rsidP="00806B53">
            <w:pPr>
              <w:widowControl w:val="0"/>
              <w:suppressAutoHyphens/>
              <w:ind w:right="175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Calibri" w:hAnsi="Calibri" w:cs="Calibri"/>
                <w:color w:val="000000"/>
              </w:rPr>
              <w:t>(</w:t>
            </w:r>
            <w:r w:rsidRPr="008B15C1">
              <w:rPr>
                <w:rFonts w:ascii="Calibri" w:hAnsi="Calibri" w:cs="Calibri"/>
                <w:i/>
                <w:color w:val="000000"/>
              </w:rPr>
              <w:t>Inserire una descrizione del servizio che sottende il trattamento dei dati personali</w:t>
            </w:r>
            <w:r w:rsidRPr="008B15C1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6521" w:type="dxa"/>
            <w:vAlign w:val="center"/>
          </w:tcPr>
          <w:p w14:paraId="581D07F0" w14:textId="53AF1307" w:rsidR="0066794D" w:rsidRPr="008B15C1" w:rsidRDefault="0066794D" w:rsidP="00806B53">
            <w:pPr>
              <w:widowControl w:val="0"/>
              <w:suppressAutoHyphens/>
              <w:ind w:left="567" w:right="567"/>
              <w:rPr>
                <w:rFonts w:ascii="Calibri" w:hAnsi="Calibri" w:cs="Calibri"/>
                <w:i/>
                <w:color w:val="000000"/>
              </w:rPr>
            </w:pPr>
          </w:p>
        </w:tc>
      </w:tr>
      <w:tr w:rsidR="0066794D" w:rsidRPr="008B15C1" w14:paraId="6F18CFFF" w14:textId="77777777" w:rsidTr="00806B53">
        <w:trPr>
          <w:trHeight w:val="2708"/>
        </w:trPr>
        <w:tc>
          <w:tcPr>
            <w:tcW w:w="3260" w:type="dxa"/>
            <w:vAlign w:val="center"/>
          </w:tcPr>
          <w:p w14:paraId="1107673E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  <w:b/>
                <w:color w:val="000000"/>
                <w:u w:val="single"/>
              </w:rPr>
              <w:lastRenderedPageBreak/>
              <w:t>DATI PERSONALI OGGETTO DEL TRATTAMENTO</w:t>
            </w:r>
          </w:p>
          <w:p w14:paraId="64107CEE" w14:textId="77777777" w:rsidR="0066794D" w:rsidRPr="008B15C1" w:rsidRDefault="0066794D" w:rsidP="00806B53">
            <w:pPr>
              <w:widowControl w:val="0"/>
              <w:suppressAutoHyphens/>
              <w:ind w:right="33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  <w:i/>
                <w:color w:val="000000"/>
              </w:rPr>
              <w:t>(Barrare le tipologie di dati trattati o inserire eventuali dati non indicati)</w:t>
            </w:r>
          </w:p>
        </w:tc>
        <w:tc>
          <w:tcPr>
            <w:tcW w:w="6521" w:type="dxa"/>
            <w:vAlign w:val="center"/>
          </w:tcPr>
          <w:p w14:paraId="67959445" w14:textId="7B27DEB4" w:rsidR="0066794D" w:rsidRPr="008B15C1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="0066794D" w:rsidRPr="00FB15E1">
              <w:rPr>
                <w:rFonts w:ascii="Calibri" w:hAnsi="Calibri" w:cs="Calibri"/>
                <w:color w:val="000000"/>
              </w:rPr>
              <w:t>personali comuni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(sesso,</w:t>
            </w:r>
            <w:r w:rsidR="00A277A9">
              <w:rPr>
                <w:rFonts w:ascii="Calibri" w:hAnsi="Calibri" w:cs="Calibri"/>
                <w:color w:val="000000"/>
              </w:rPr>
              <w:t xml:space="preserve"> anno di nascita, età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, nazionalità)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dati economici (es. codice iban) </w:t>
            </w:r>
          </w:p>
          <w:p w14:paraId="706604CA" w14:textId="2AA45E09" w:rsidR="0066794D" w:rsidRPr="008B15C1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</w:t>
            </w:r>
            <w:r w:rsidR="0066794D" w:rsidRPr="00FB15E1">
              <w:rPr>
                <w:rFonts w:ascii="Calibri" w:hAnsi="Calibri" w:cs="Calibri"/>
                <w:color w:val="000000"/>
              </w:rPr>
              <w:t>immagini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video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 xml:space="preserve">❑ 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dati relativi alla salute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alla vita sessuale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all'orientamento sessuale della persona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dati genetici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dati biometrici (es. riconoscimento facciale, impronta digitale etc.)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dati personali che rivelano l'origine razziale o etnica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opinioni politiche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convinzioni religiose o filosofiche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l'appartenenza sindacale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dati giudiziari </w:t>
            </w:r>
          </w:p>
          <w:p w14:paraId="14D29E8A" w14:textId="009B8038" w:rsidR="0066794D" w:rsidRPr="008B15C1" w:rsidRDefault="004C249F" w:rsidP="00806B53">
            <w:pPr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="0066794D" w:rsidRPr="008B15C1">
              <w:rPr>
                <w:rFonts w:ascii="Calibri" w:hAnsi="Calibri" w:cs="Calibri"/>
                <w:color w:val="000000"/>
              </w:rPr>
              <w:t>ALTRO</w:t>
            </w:r>
            <w:r w:rsidR="0066794D" w:rsidRPr="00FB15E1">
              <w:rPr>
                <w:rFonts w:ascii="Calibri" w:hAnsi="Calibri" w:cs="Calibri"/>
                <w:color w:val="000000"/>
              </w:rPr>
              <w:t>: Recapito telefonico, traffico telefonico, log di sistema</w:t>
            </w:r>
          </w:p>
        </w:tc>
      </w:tr>
      <w:tr w:rsidR="0066794D" w:rsidRPr="008B15C1" w14:paraId="6541365A" w14:textId="77777777" w:rsidTr="00806B53">
        <w:trPr>
          <w:trHeight w:val="1697"/>
        </w:trPr>
        <w:tc>
          <w:tcPr>
            <w:tcW w:w="3260" w:type="dxa"/>
            <w:vAlign w:val="center"/>
          </w:tcPr>
          <w:p w14:paraId="25F06EDC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  <w:b/>
                <w:color w:val="000000"/>
                <w:u w:val="single"/>
              </w:rPr>
              <w:t xml:space="preserve">CATEGORIE DI INTERESSATI </w:t>
            </w:r>
          </w:p>
          <w:p w14:paraId="13D9C644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  <w:i/>
                <w:color w:val="000000"/>
              </w:rPr>
              <w:t>(Barrare i soggetti a cui si riferiscono i dati personali trattati)</w:t>
            </w:r>
          </w:p>
        </w:tc>
        <w:tc>
          <w:tcPr>
            <w:tcW w:w="6521" w:type="dxa"/>
            <w:vAlign w:val="center"/>
          </w:tcPr>
          <w:p w14:paraId="2497D81A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</w:rPr>
            </w:pPr>
            <w:r w:rsidRPr="008B15C1">
              <w:rPr>
                <w:rFonts w:ascii="Segoe UI Symbol" w:hAnsi="Segoe UI Symbol" w:cs="Segoe UI Symbol"/>
              </w:rPr>
              <w:t xml:space="preserve">❑ </w:t>
            </w:r>
            <w:r w:rsidRPr="008B15C1">
              <w:rPr>
                <w:rFonts w:ascii="Calibri" w:hAnsi="Calibri" w:cs="Calibri"/>
              </w:rPr>
              <w:t>stude</w:t>
            </w:r>
            <w:r w:rsidRPr="00234BF1">
              <w:rPr>
                <w:rFonts w:ascii="Calibri" w:hAnsi="Calibri" w:cs="Calibri"/>
              </w:rPr>
              <w:t xml:space="preserve">nti </w:t>
            </w:r>
            <w:r w:rsidRPr="00234BF1">
              <w:rPr>
                <w:rFonts w:ascii="Segoe UI Symbol" w:hAnsi="Segoe UI Symbol" w:cs="Segoe UI Symbol"/>
              </w:rPr>
              <w:t>❑</w:t>
            </w:r>
            <w:r w:rsidRPr="00234BF1">
              <w:rPr>
                <w:rFonts w:ascii="Calibri" w:hAnsi="Calibri" w:cs="Calibri"/>
              </w:rPr>
              <w:t xml:space="preserve"> personale docente </w:t>
            </w:r>
            <w:r w:rsidRPr="00234BF1">
              <w:rPr>
                <w:rFonts w:ascii="Segoe UI Symbol" w:hAnsi="Segoe UI Symbol" w:cs="Segoe UI Symbol"/>
              </w:rPr>
              <w:t>❑</w:t>
            </w:r>
            <w:r w:rsidRPr="00234BF1">
              <w:rPr>
                <w:rFonts w:ascii="Calibri" w:hAnsi="Calibri" w:cs="Calibri"/>
              </w:rPr>
              <w:t xml:space="preserve"> personale tecnico amministrativo </w:t>
            </w:r>
            <w:r w:rsidRPr="00234BF1">
              <w:rPr>
                <w:rFonts w:ascii="Segoe UI Symbol" w:hAnsi="Segoe UI Symbol" w:cs="Segoe UI Symbol"/>
              </w:rPr>
              <w:t>❑</w:t>
            </w:r>
            <w:r w:rsidRPr="00234BF1">
              <w:rPr>
                <w:rFonts w:ascii="Calibri" w:hAnsi="Calibri" w:cs="Calibri"/>
              </w:rPr>
              <w:t xml:space="preserve"> laureandi </w:t>
            </w:r>
            <w:r w:rsidRPr="00234BF1">
              <w:rPr>
                <w:rFonts w:ascii="Segoe UI Symbol" w:hAnsi="Segoe UI Symbol" w:cs="Segoe UI Symbol"/>
              </w:rPr>
              <w:t xml:space="preserve">❑ </w:t>
            </w:r>
            <w:r w:rsidRPr="00234BF1">
              <w:rPr>
                <w:rFonts w:ascii="Calibri" w:hAnsi="Calibri" w:cs="Calibri"/>
              </w:rPr>
              <w:t xml:space="preserve">collaboratori </w:t>
            </w:r>
            <w:r w:rsidRPr="00234BF1">
              <w:rPr>
                <w:rFonts w:ascii="Segoe UI Symbol" w:hAnsi="Segoe UI Symbol" w:cs="Segoe UI Symbol"/>
              </w:rPr>
              <w:t>❑</w:t>
            </w:r>
            <w:r w:rsidRPr="00234BF1">
              <w:rPr>
                <w:rFonts w:ascii="Calibri" w:hAnsi="Calibri" w:cs="Calibri"/>
              </w:rPr>
              <w:t xml:space="preserve">dottorandi </w:t>
            </w:r>
            <w:r w:rsidRPr="00234BF1">
              <w:rPr>
                <w:rFonts w:ascii="Segoe UI Symbol" w:hAnsi="Segoe UI Symbol" w:cs="Segoe UI Symbol"/>
              </w:rPr>
              <w:t>❑</w:t>
            </w:r>
            <w:r w:rsidRPr="00234BF1">
              <w:rPr>
                <w:rFonts w:ascii="Calibri" w:hAnsi="Calibri" w:cs="Calibri"/>
              </w:rPr>
              <w:t>spe</w:t>
            </w:r>
            <w:r w:rsidRPr="008B15C1">
              <w:rPr>
                <w:rFonts w:ascii="Calibri" w:hAnsi="Calibri" w:cs="Calibri"/>
              </w:rPr>
              <w:t>cializzandi</w:t>
            </w:r>
            <w:r w:rsidRPr="008B15C1">
              <w:rPr>
                <w:rFonts w:ascii="Segoe UI Symbol" w:hAnsi="Segoe UI Symbol" w:cs="Segoe UI Symbol"/>
              </w:rPr>
              <w:t xml:space="preserve"> ❑</w:t>
            </w:r>
            <w:r w:rsidRPr="008B15C1">
              <w:rPr>
                <w:rFonts w:ascii="Calibri" w:hAnsi="Calibri" w:cs="Calibri"/>
              </w:rPr>
              <w:t xml:space="preserve"> fornitori</w:t>
            </w:r>
            <w:r w:rsidRPr="008B15C1">
              <w:rPr>
                <w:rFonts w:ascii="Segoe UI Symbol" w:hAnsi="Segoe UI Symbol" w:cs="Segoe UI Symbol"/>
              </w:rPr>
              <w:t xml:space="preserve"> ❑</w:t>
            </w:r>
            <w:r w:rsidRPr="008B15C1">
              <w:rPr>
                <w:rFonts w:ascii="Calibri" w:hAnsi="Calibri" w:cs="Calibri"/>
              </w:rPr>
              <w:t xml:space="preserve"> tirocinanti </w:t>
            </w:r>
            <w:r w:rsidRPr="008B15C1">
              <w:rPr>
                <w:rFonts w:ascii="Segoe UI Symbol" w:hAnsi="Segoe UI Symbol" w:cs="Segoe UI Symbol"/>
              </w:rPr>
              <w:t>❑</w:t>
            </w:r>
            <w:r w:rsidRPr="008B15C1">
              <w:rPr>
                <w:rFonts w:ascii="Calibri" w:hAnsi="Calibri" w:cs="Calibri"/>
              </w:rPr>
              <w:t xml:space="preserve"> visitatori </w:t>
            </w:r>
            <w:r w:rsidRPr="008B15C1">
              <w:rPr>
                <w:rFonts w:ascii="Segoe UI Symbol" w:hAnsi="Segoe UI Symbol" w:cs="Segoe UI Symbol"/>
              </w:rPr>
              <w:t xml:space="preserve">❑ </w:t>
            </w:r>
            <w:r w:rsidRPr="008B15C1">
              <w:rPr>
                <w:rFonts w:ascii="Calibri" w:hAnsi="Calibri" w:cs="Calibri"/>
              </w:rPr>
              <w:t>soggetti esterni</w:t>
            </w:r>
            <w:r w:rsidRPr="008B15C1">
              <w:rPr>
                <w:rFonts w:ascii="Segoe UI Symbol" w:hAnsi="Segoe UI Symbol" w:cs="Segoe UI Symbol"/>
              </w:rPr>
              <w:t xml:space="preserve"> ❑</w:t>
            </w:r>
            <w:r w:rsidRPr="008B15C1">
              <w:rPr>
                <w:rFonts w:ascii="Calibri" w:hAnsi="Calibri" w:cs="Calibri"/>
              </w:rPr>
              <w:t xml:space="preserve"> cittadini</w:t>
            </w:r>
          </w:p>
          <w:p w14:paraId="704A162A" w14:textId="5B7DDD76" w:rsidR="0066794D" w:rsidRPr="008B15C1" w:rsidRDefault="004C249F" w:rsidP="004C249F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8B15C1">
              <w:rPr>
                <w:rFonts w:ascii="Calibri" w:hAnsi="Calibri" w:cs="Calibri"/>
              </w:rPr>
              <w:t xml:space="preserve"> ALTRO </w:t>
            </w:r>
            <w:r w:rsidR="0066794D">
              <w:rPr>
                <w:rFonts w:ascii="Calibri" w:hAnsi="Calibri" w:cs="Calibri"/>
              </w:rPr>
              <w:t xml:space="preserve"> </w:t>
            </w:r>
            <w:r w:rsidR="0066794D" w:rsidRPr="00C77B8D">
              <w:rPr>
                <w:rFonts w:ascii="Calibri" w:hAnsi="Calibri" w:cs="Calibri"/>
              </w:rPr>
              <w:t>Personale e collaboratori di “</w:t>
            </w:r>
            <w:r w:rsidRPr="004C249F">
              <w:rPr>
                <w:rFonts w:ascii="Calibri" w:hAnsi="Calibri" w:cs="Calibri"/>
                <w:highlight w:val="yellow"/>
              </w:rPr>
              <w:t>…</w:t>
            </w:r>
            <w:r w:rsidR="0066794D" w:rsidRPr="00C77B8D">
              <w:rPr>
                <w:rFonts w:ascii="Calibri" w:hAnsi="Calibri" w:cs="Calibri"/>
              </w:rPr>
              <w:t>”.</w:t>
            </w:r>
          </w:p>
        </w:tc>
      </w:tr>
      <w:tr w:rsidR="0066794D" w:rsidRPr="008B15C1" w14:paraId="4FB09D0A" w14:textId="77777777" w:rsidTr="00806B53">
        <w:trPr>
          <w:trHeight w:val="2402"/>
        </w:trPr>
        <w:tc>
          <w:tcPr>
            <w:tcW w:w="3260" w:type="dxa"/>
            <w:vAlign w:val="center"/>
          </w:tcPr>
          <w:p w14:paraId="11CF0685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  <w:b/>
                <w:color w:val="000000"/>
                <w:u w:val="single"/>
              </w:rPr>
              <w:t>OPERAZIONI DI TRATTAMENTO</w:t>
            </w:r>
          </w:p>
          <w:p w14:paraId="4E39DE67" w14:textId="77777777" w:rsidR="0066794D" w:rsidRPr="008B15C1" w:rsidRDefault="0066794D" w:rsidP="00806B53">
            <w:pPr>
              <w:widowControl w:val="0"/>
              <w:suppressAutoHyphens/>
              <w:ind w:right="33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Calibri" w:hAnsi="Calibri" w:cs="Calibri"/>
                <w:color w:val="000000"/>
              </w:rPr>
              <w:t>(</w:t>
            </w:r>
            <w:r w:rsidRPr="008B15C1">
              <w:rPr>
                <w:rFonts w:ascii="Calibri" w:hAnsi="Calibri" w:cs="Calibri"/>
                <w:i/>
                <w:color w:val="000000"/>
              </w:rPr>
              <w:t>Barrare le tipologie di trattamento dei dati o inserire eventuali trattamenti non indicati</w:t>
            </w:r>
            <w:r w:rsidRPr="008B15C1">
              <w:rPr>
                <w:rFonts w:ascii="Calibri" w:hAnsi="Calibri" w:cs="Calibri"/>
                <w:color w:val="000000"/>
              </w:rPr>
              <w:t>)</w:t>
            </w:r>
          </w:p>
        </w:tc>
        <w:tc>
          <w:tcPr>
            <w:tcW w:w="6521" w:type="dxa"/>
            <w:vAlign w:val="center"/>
          </w:tcPr>
          <w:p w14:paraId="1D15F734" w14:textId="1B10C14B" w:rsidR="0066794D" w:rsidRPr="00C77B8D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consultazione  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uso  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comunicazione mediante trasmissione </w:t>
            </w:r>
          </w:p>
          <w:p w14:paraId="6EB93AF0" w14:textId="215B1EA3" w:rsidR="0066794D" w:rsidRPr="00C77B8D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diffusione o qualsiasi altra forma di messa a disposizione </w:t>
            </w:r>
          </w:p>
          <w:p w14:paraId="5316FA1B" w14:textId="684362BD" w:rsidR="0066794D" w:rsidRPr="00C77B8D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conservazione   </w:t>
            </w:r>
            <w:r w:rsidR="0066794D" w:rsidRPr="00C77B8D"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raccolta  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registrazione  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estrazione </w:t>
            </w:r>
          </w:p>
          <w:p w14:paraId="3385AD75" w14:textId="7F72CB39" w:rsidR="0066794D" w:rsidRPr="00C77B8D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organizzazione  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strutturazione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modifica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adattamento </w:t>
            </w:r>
          </w:p>
          <w:p w14:paraId="2A5C3E91" w14:textId="28C83491" w:rsidR="0066794D" w:rsidRPr="00C77B8D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raffronto o l'interconnessione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cancellazione </w:t>
            </w: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distruzione </w:t>
            </w:r>
          </w:p>
          <w:p w14:paraId="2FD90B15" w14:textId="37CFF68A" w:rsidR="0066794D" w:rsidRPr="008B15C1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Calibri" w:hAnsi="Calibri" w:cs="Calibri"/>
                <w:color w:val="000000"/>
              </w:rPr>
              <w:t xml:space="preserve"> limitazione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348AE644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</w:rPr>
              <w:t>ALTRO: ……………………………………………………………………</w:t>
            </w:r>
          </w:p>
        </w:tc>
      </w:tr>
      <w:tr w:rsidR="0066794D" w:rsidRPr="008B15C1" w14:paraId="29733F52" w14:textId="77777777" w:rsidTr="00806B53">
        <w:trPr>
          <w:trHeight w:val="706"/>
        </w:trPr>
        <w:tc>
          <w:tcPr>
            <w:tcW w:w="3260" w:type="dxa"/>
            <w:vAlign w:val="center"/>
          </w:tcPr>
          <w:p w14:paraId="45855669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b/>
                <w:color w:val="000000"/>
                <w:u w:val="single"/>
              </w:rPr>
            </w:pPr>
            <w:r w:rsidRPr="008B15C1">
              <w:rPr>
                <w:rFonts w:ascii="Calibri" w:hAnsi="Calibri" w:cs="Calibri"/>
                <w:b/>
                <w:color w:val="000000"/>
                <w:u w:val="single"/>
              </w:rPr>
              <w:t>PROCESSI AUTOMATIZZATI</w:t>
            </w:r>
          </w:p>
        </w:tc>
        <w:tc>
          <w:tcPr>
            <w:tcW w:w="6521" w:type="dxa"/>
            <w:vAlign w:val="center"/>
          </w:tcPr>
          <w:p w14:paraId="2750C274" w14:textId="77777777" w:rsidR="0066794D" w:rsidRPr="008B15C1" w:rsidRDefault="0066794D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</w:p>
          <w:p w14:paraId="60409A7B" w14:textId="55B7CE79" w:rsidR="0066794D" w:rsidRPr="008B15C1" w:rsidRDefault="004C249F" w:rsidP="00806B53">
            <w:pPr>
              <w:widowControl w:val="0"/>
              <w:suppressAutoHyphens/>
              <w:ind w:right="567"/>
              <w:rPr>
                <w:rFonts w:ascii="Calibri" w:hAnsi="Calibri" w:cs="Calibri"/>
                <w:color w:val="000000"/>
              </w:rPr>
            </w:pPr>
            <w:r w:rsidRPr="008B15C1">
              <w:rPr>
                <w:rFonts w:ascii="Segoe UI Symbol" w:hAnsi="Segoe UI Symbol" w:cs="Segoe UI Symbol"/>
                <w:color w:val="000000"/>
              </w:rPr>
              <w:t>❑</w:t>
            </w:r>
            <w:r w:rsidR="0066794D" w:rsidRPr="00C77B8D">
              <w:rPr>
                <w:rFonts w:ascii="Segoe UI Symbol" w:hAnsi="Segoe UI Symbol" w:cs="Segoe UI Symbol"/>
                <w:color w:val="000000"/>
              </w:rPr>
              <w:t xml:space="preserve"> </w:t>
            </w:r>
            <w:r w:rsidR="0066794D" w:rsidRPr="00C77B8D">
              <w:rPr>
                <w:rFonts w:ascii="Calibri" w:hAnsi="Calibri" w:cs="Calibri"/>
                <w:color w:val="000000"/>
              </w:rPr>
              <w:t>SI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</w:t>
            </w:r>
            <w:r w:rsidR="0066794D" w:rsidRPr="008B15C1">
              <w:rPr>
                <w:rFonts w:ascii="Segoe UI Symbol" w:hAnsi="Segoe UI Symbol" w:cs="Segoe UI Symbol"/>
                <w:b/>
                <w:color w:val="000000"/>
              </w:rPr>
              <w:t xml:space="preserve">     </w:t>
            </w:r>
            <w:r w:rsidR="0066794D" w:rsidRPr="008B15C1">
              <w:rPr>
                <w:rFonts w:ascii="Calibri" w:hAnsi="Calibri" w:cs="Calibri"/>
                <w:color w:val="000000"/>
              </w:rPr>
              <w:t xml:space="preserve"> </w:t>
            </w:r>
            <w:r w:rsidR="0066794D" w:rsidRPr="008B15C1">
              <w:rPr>
                <w:rFonts w:ascii="Segoe UI Symbol" w:hAnsi="Segoe UI Symbol" w:cs="Segoe UI Symbol"/>
                <w:color w:val="000000"/>
              </w:rPr>
              <w:t xml:space="preserve">❑ </w:t>
            </w:r>
            <w:r w:rsidR="0066794D" w:rsidRPr="008B15C1">
              <w:rPr>
                <w:rFonts w:ascii="Calibri" w:hAnsi="Calibri" w:cs="Calibri"/>
                <w:color w:val="000000"/>
              </w:rPr>
              <w:t>NO</w:t>
            </w:r>
          </w:p>
        </w:tc>
      </w:tr>
    </w:tbl>
    <w:p w14:paraId="4550F013" w14:textId="77777777" w:rsidR="0066794D" w:rsidRPr="008B15C1" w:rsidRDefault="0066794D" w:rsidP="0066794D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sz w:val="24"/>
          <w:szCs w:val="24"/>
          <w:lang w:eastAsia="it-IT"/>
        </w:rPr>
      </w:pPr>
    </w:p>
    <w:p w14:paraId="4D16E716" w14:textId="77777777" w:rsidR="0066794D" w:rsidRPr="008B15C1" w:rsidRDefault="0066794D" w:rsidP="0066794D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it-IT"/>
        </w:rPr>
      </w:pPr>
    </w:p>
    <w:p w14:paraId="02AC1D33" w14:textId="77777777" w:rsidR="0066794D" w:rsidRDefault="0066794D" w:rsidP="0066794D"/>
    <w:p w14:paraId="1FE8D7B7" w14:textId="77777777" w:rsidR="0066794D" w:rsidRDefault="0066794D" w:rsidP="0066794D">
      <w:r>
        <w:br w:type="page"/>
      </w:r>
    </w:p>
    <w:p w14:paraId="32BA447A" w14:textId="4C4D84FD" w:rsidR="00F549B6" w:rsidRPr="00F549B6" w:rsidRDefault="004C249F" w:rsidP="00F549B6">
      <w:pPr>
        <w:widowControl w:val="0"/>
        <w:suppressAutoHyphens/>
        <w:spacing w:after="0" w:line="360" w:lineRule="auto"/>
        <w:ind w:right="567"/>
        <w:jc w:val="right"/>
        <w:rPr>
          <w:rFonts w:ascii="Calibri" w:eastAsia="Times New Roman" w:hAnsi="Calibri" w:cs="Calibri"/>
          <w:b/>
          <w:i/>
          <w:sz w:val="24"/>
          <w:szCs w:val="24"/>
          <w:lang w:eastAsia="it-IT"/>
        </w:rPr>
      </w:pPr>
      <w:r w:rsidRPr="004C249F">
        <w:rPr>
          <w:rFonts w:ascii="Calibri" w:eastAsia="Times New Roman" w:hAnsi="Calibri" w:cs="Calibri"/>
          <w:b/>
          <w:i/>
          <w:sz w:val="24"/>
          <w:szCs w:val="24"/>
          <w:lang w:eastAsia="it-IT"/>
        </w:rPr>
        <w:lastRenderedPageBreak/>
        <w:t xml:space="preserve">ALLEGATO </w:t>
      </w:r>
      <w:r w:rsidR="00F549B6" w:rsidRPr="00F549B6">
        <w:rPr>
          <w:rFonts w:ascii="Calibri" w:eastAsia="Times New Roman" w:hAnsi="Calibri" w:cs="Calibri"/>
          <w:b/>
          <w:i/>
          <w:sz w:val="24"/>
          <w:szCs w:val="24"/>
          <w:lang w:eastAsia="it-IT"/>
        </w:rPr>
        <w:t>2</w:t>
      </w:r>
    </w:p>
    <w:p w14:paraId="2EE1BEC8" w14:textId="77777777" w:rsidR="00F549B6" w:rsidRDefault="00F549B6" w:rsidP="00F549B6">
      <w:pPr>
        <w:jc w:val="right"/>
      </w:pPr>
    </w:p>
    <w:p w14:paraId="2560DCEB" w14:textId="77777777" w:rsidR="00F549B6" w:rsidRPr="00F549B6" w:rsidRDefault="00F549B6" w:rsidP="00F549B6">
      <w:pPr>
        <w:widowControl w:val="0"/>
        <w:suppressAutoHyphens/>
        <w:spacing w:after="0" w:line="360" w:lineRule="auto"/>
        <w:ind w:right="567"/>
        <w:jc w:val="center"/>
        <w:rPr>
          <w:rFonts w:ascii="Calibri" w:eastAsia="Times New Roman" w:hAnsi="Calibri" w:cs="Calibri"/>
          <w:b/>
          <w:i/>
          <w:sz w:val="24"/>
          <w:szCs w:val="24"/>
          <w:lang w:eastAsia="it-IT"/>
        </w:rPr>
      </w:pPr>
      <w:r w:rsidRPr="00F549B6">
        <w:rPr>
          <w:rFonts w:ascii="Calibri" w:eastAsia="Times New Roman" w:hAnsi="Calibri" w:cs="Calibri"/>
          <w:b/>
          <w:i/>
          <w:sz w:val="24"/>
          <w:szCs w:val="24"/>
          <w:lang w:eastAsia="it-IT"/>
        </w:rPr>
        <w:t>MISURE MINIME DI SICUREZZA</w:t>
      </w:r>
    </w:p>
    <w:p w14:paraId="1007EA2E" w14:textId="77777777" w:rsidR="00F549B6" w:rsidRDefault="00F549B6" w:rsidP="00F549B6">
      <w:pPr>
        <w:rPr>
          <w:b/>
          <w:color w:val="000000"/>
          <w:sz w:val="27"/>
          <w:szCs w:val="27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71"/>
        <w:gridCol w:w="6999"/>
        <w:gridCol w:w="1358"/>
      </w:tblGrid>
      <w:tr w:rsidR="00F549B6" w:rsidRPr="00F549B6" w14:paraId="2BE5120F" w14:textId="77777777" w:rsidTr="00F549B6">
        <w:trPr>
          <w:trHeight w:val="450"/>
        </w:trPr>
        <w:tc>
          <w:tcPr>
            <w:tcW w:w="1271" w:type="dxa"/>
            <w:noWrap/>
            <w:vAlign w:val="center"/>
            <w:hideMark/>
          </w:tcPr>
          <w:p w14:paraId="1AAFB324" w14:textId="77777777" w:rsidR="00F549B6" w:rsidRPr="00F549B6" w:rsidRDefault="00F549B6" w:rsidP="00F549B6">
            <w:pPr>
              <w:jc w:val="center"/>
              <w:rPr>
                <w:b/>
                <w:bCs/>
                <w:sz w:val="22"/>
                <w:szCs w:val="22"/>
              </w:rPr>
            </w:pPr>
            <w:r w:rsidRPr="00F549B6">
              <w:rPr>
                <w:b/>
                <w:bCs/>
                <w:sz w:val="22"/>
                <w:szCs w:val="22"/>
              </w:rPr>
              <w:t>ABSC_ID #</w:t>
            </w:r>
          </w:p>
        </w:tc>
        <w:tc>
          <w:tcPr>
            <w:tcW w:w="6999" w:type="dxa"/>
            <w:noWrap/>
            <w:vAlign w:val="center"/>
            <w:hideMark/>
          </w:tcPr>
          <w:p w14:paraId="61782A0B" w14:textId="77777777" w:rsidR="00F549B6" w:rsidRPr="00F549B6" w:rsidRDefault="00F549B6" w:rsidP="00F549B6">
            <w:pPr>
              <w:jc w:val="center"/>
              <w:rPr>
                <w:b/>
                <w:bCs/>
                <w:sz w:val="22"/>
                <w:szCs w:val="22"/>
              </w:rPr>
            </w:pPr>
            <w:r w:rsidRPr="00F549B6">
              <w:rPr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1358" w:type="dxa"/>
            <w:noWrap/>
            <w:vAlign w:val="center"/>
            <w:hideMark/>
          </w:tcPr>
          <w:p w14:paraId="59F1CA27" w14:textId="77777777" w:rsidR="00F549B6" w:rsidRPr="00F549B6" w:rsidRDefault="00F549B6" w:rsidP="00F549B6">
            <w:pPr>
              <w:jc w:val="center"/>
              <w:rPr>
                <w:b/>
                <w:bCs/>
                <w:sz w:val="22"/>
                <w:szCs w:val="22"/>
              </w:rPr>
            </w:pPr>
            <w:r w:rsidRPr="00F549B6">
              <w:rPr>
                <w:b/>
                <w:bCs/>
                <w:sz w:val="22"/>
                <w:szCs w:val="22"/>
              </w:rPr>
              <w:t>FNSC</w:t>
            </w:r>
          </w:p>
        </w:tc>
      </w:tr>
      <w:tr w:rsidR="00F549B6" w:rsidRPr="00F549B6" w14:paraId="265092BD" w14:textId="77777777" w:rsidTr="00F549B6">
        <w:trPr>
          <w:trHeight w:val="345"/>
        </w:trPr>
        <w:tc>
          <w:tcPr>
            <w:tcW w:w="1271" w:type="dxa"/>
            <w:noWrap/>
            <w:vAlign w:val="center"/>
            <w:hideMark/>
          </w:tcPr>
          <w:p w14:paraId="0DF2A5C4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1.1.1</w:t>
            </w:r>
          </w:p>
        </w:tc>
        <w:tc>
          <w:tcPr>
            <w:tcW w:w="6999" w:type="dxa"/>
            <w:noWrap/>
            <w:vAlign w:val="center"/>
            <w:hideMark/>
          </w:tcPr>
          <w:p w14:paraId="30CDFB4A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Implementare un inventario delle risorse attive correlato a quello ABSC 1.4</w:t>
            </w:r>
          </w:p>
        </w:tc>
        <w:tc>
          <w:tcPr>
            <w:tcW w:w="1358" w:type="dxa"/>
            <w:noWrap/>
            <w:vAlign w:val="center"/>
            <w:hideMark/>
          </w:tcPr>
          <w:p w14:paraId="692E0A5D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ID.AM-1</w:t>
            </w:r>
          </w:p>
        </w:tc>
      </w:tr>
      <w:tr w:rsidR="00F549B6" w:rsidRPr="00F549B6" w14:paraId="0B4392D0" w14:textId="77777777" w:rsidTr="00F549B6">
        <w:trPr>
          <w:trHeight w:val="345"/>
        </w:trPr>
        <w:tc>
          <w:tcPr>
            <w:tcW w:w="1271" w:type="dxa"/>
            <w:noWrap/>
            <w:vAlign w:val="center"/>
            <w:hideMark/>
          </w:tcPr>
          <w:p w14:paraId="7C1A2749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1.3.1</w:t>
            </w:r>
          </w:p>
        </w:tc>
        <w:tc>
          <w:tcPr>
            <w:tcW w:w="6999" w:type="dxa"/>
            <w:noWrap/>
            <w:vAlign w:val="center"/>
            <w:hideMark/>
          </w:tcPr>
          <w:p w14:paraId="1262186E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Aggiornare l’inventario quando nuovi dispositivi approvati vengono collegati in rete</w:t>
            </w:r>
          </w:p>
        </w:tc>
        <w:tc>
          <w:tcPr>
            <w:tcW w:w="1358" w:type="dxa"/>
            <w:noWrap/>
            <w:vAlign w:val="center"/>
            <w:hideMark/>
          </w:tcPr>
          <w:p w14:paraId="584FDFA5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ID.AM-1</w:t>
            </w:r>
          </w:p>
        </w:tc>
      </w:tr>
      <w:tr w:rsidR="00F549B6" w:rsidRPr="00F549B6" w14:paraId="21E0496D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3A63EF2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1.4.1</w:t>
            </w:r>
          </w:p>
        </w:tc>
        <w:tc>
          <w:tcPr>
            <w:tcW w:w="6999" w:type="dxa"/>
            <w:vAlign w:val="center"/>
            <w:hideMark/>
          </w:tcPr>
          <w:p w14:paraId="26DBABB4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Gestire l’inventario delle risorse di tutti i sistemi collegati alla rete e dei dispositivi di rete stessi, registrando almeno l’indirizzo IP</w:t>
            </w:r>
          </w:p>
        </w:tc>
        <w:tc>
          <w:tcPr>
            <w:tcW w:w="1358" w:type="dxa"/>
            <w:noWrap/>
            <w:vAlign w:val="center"/>
            <w:hideMark/>
          </w:tcPr>
          <w:p w14:paraId="5456D2C2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ID.AM-1</w:t>
            </w:r>
          </w:p>
        </w:tc>
      </w:tr>
      <w:tr w:rsidR="00F549B6" w:rsidRPr="00F549B6" w14:paraId="2311C4EC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346D921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2.1.1</w:t>
            </w:r>
          </w:p>
        </w:tc>
        <w:tc>
          <w:tcPr>
            <w:tcW w:w="6999" w:type="dxa"/>
            <w:vAlign w:val="center"/>
            <w:hideMark/>
          </w:tcPr>
          <w:p w14:paraId="6A8B7997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Stilare un elenco di software autorizzati e relative versioni necessari per ciascun tipo di sistema, compresi server, workstation e laptop di vari tipi e per diversi usi. Non consentire l’installazione di software non compreso nell’elenco.</w:t>
            </w:r>
          </w:p>
        </w:tc>
        <w:tc>
          <w:tcPr>
            <w:tcW w:w="1358" w:type="dxa"/>
            <w:noWrap/>
            <w:vAlign w:val="center"/>
            <w:hideMark/>
          </w:tcPr>
          <w:p w14:paraId="03C476E4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ID.AM-2</w:t>
            </w:r>
          </w:p>
        </w:tc>
      </w:tr>
      <w:tr w:rsidR="00F549B6" w:rsidRPr="00F549B6" w14:paraId="5F932BCF" w14:textId="77777777" w:rsidTr="00F549B6">
        <w:trPr>
          <w:trHeight w:val="345"/>
        </w:trPr>
        <w:tc>
          <w:tcPr>
            <w:tcW w:w="1271" w:type="dxa"/>
            <w:noWrap/>
            <w:vAlign w:val="center"/>
            <w:hideMark/>
          </w:tcPr>
          <w:p w14:paraId="7BBC5F22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2.3.1</w:t>
            </w:r>
          </w:p>
        </w:tc>
        <w:tc>
          <w:tcPr>
            <w:tcW w:w="6999" w:type="dxa"/>
            <w:noWrap/>
            <w:vAlign w:val="center"/>
            <w:hideMark/>
          </w:tcPr>
          <w:p w14:paraId="049A8D8C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Eseguire regolari scansioni sui sistemi al fine di rilevare la presenza di software non autorizzato.</w:t>
            </w:r>
          </w:p>
        </w:tc>
        <w:tc>
          <w:tcPr>
            <w:tcW w:w="1358" w:type="dxa"/>
            <w:noWrap/>
            <w:vAlign w:val="center"/>
            <w:hideMark/>
          </w:tcPr>
          <w:p w14:paraId="3834E071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ID.AM-2</w:t>
            </w:r>
          </w:p>
        </w:tc>
      </w:tr>
      <w:tr w:rsidR="00F549B6" w:rsidRPr="00F549B6" w14:paraId="4DED3C3B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2C049F75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3.2.1</w:t>
            </w:r>
          </w:p>
        </w:tc>
        <w:tc>
          <w:tcPr>
            <w:tcW w:w="6999" w:type="dxa"/>
            <w:vAlign w:val="center"/>
            <w:hideMark/>
          </w:tcPr>
          <w:p w14:paraId="48661DA0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Definire ed impiegare una configurazione standard per workstation, server e altri tipi di sistemi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usati dall’organizzazione.</w:t>
            </w:r>
          </w:p>
        </w:tc>
        <w:tc>
          <w:tcPr>
            <w:tcW w:w="1358" w:type="dxa"/>
            <w:noWrap/>
            <w:vAlign w:val="center"/>
            <w:hideMark/>
          </w:tcPr>
          <w:p w14:paraId="108B5FF7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PR.IP-1</w:t>
            </w:r>
          </w:p>
        </w:tc>
      </w:tr>
      <w:tr w:rsidR="00F549B6" w:rsidRPr="00F549B6" w14:paraId="3D82DDEE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212C7170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3.2.2</w:t>
            </w:r>
          </w:p>
        </w:tc>
        <w:tc>
          <w:tcPr>
            <w:tcW w:w="6999" w:type="dxa"/>
            <w:vAlign w:val="center"/>
            <w:hideMark/>
          </w:tcPr>
          <w:p w14:paraId="41088C89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Eventuali sistemi in esercizio che vengano compromessi devono essere ripristinati utilizzando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la configurazione standard.</w:t>
            </w:r>
          </w:p>
        </w:tc>
        <w:tc>
          <w:tcPr>
            <w:tcW w:w="1358" w:type="dxa"/>
            <w:noWrap/>
            <w:vAlign w:val="center"/>
            <w:hideMark/>
          </w:tcPr>
          <w:p w14:paraId="00043C1D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PR.IP-2 RC.RP-1</w:t>
            </w:r>
          </w:p>
        </w:tc>
      </w:tr>
      <w:tr w:rsidR="00F549B6" w:rsidRPr="00F549B6" w14:paraId="0374DA13" w14:textId="77777777" w:rsidTr="00F549B6">
        <w:trPr>
          <w:trHeight w:val="345"/>
        </w:trPr>
        <w:tc>
          <w:tcPr>
            <w:tcW w:w="1271" w:type="dxa"/>
            <w:noWrap/>
            <w:vAlign w:val="center"/>
            <w:hideMark/>
          </w:tcPr>
          <w:p w14:paraId="6088D28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3.3.1</w:t>
            </w:r>
          </w:p>
        </w:tc>
        <w:tc>
          <w:tcPr>
            <w:tcW w:w="6999" w:type="dxa"/>
            <w:noWrap/>
            <w:vAlign w:val="center"/>
            <w:hideMark/>
          </w:tcPr>
          <w:p w14:paraId="7C021973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Le immagini d’installazione devono essere memorizzate offline.</w:t>
            </w:r>
          </w:p>
        </w:tc>
        <w:tc>
          <w:tcPr>
            <w:tcW w:w="1358" w:type="dxa"/>
            <w:noWrap/>
            <w:vAlign w:val="center"/>
            <w:hideMark/>
          </w:tcPr>
          <w:p w14:paraId="779753C0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PR.IP-2</w:t>
            </w:r>
          </w:p>
        </w:tc>
      </w:tr>
      <w:tr w:rsidR="00F549B6" w:rsidRPr="00F549B6" w14:paraId="73983D1D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34DEBEF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3.4.1</w:t>
            </w:r>
          </w:p>
        </w:tc>
        <w:tc>
          <w:tcPr>
            <w:tcW w:w="6999" w:type="dxa"/>
            <w:vAlign w:val="center"/>
            <w:hideMark/>
          </w:tcPr>
          <w:p w14:paraId="60515FE0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Eseguire tutte le operazioni di amministrazione remota di server, workstation, dispositivi di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rete e analoghe apparecchiature per mezzo di connessioni protette (protocolli intrinsecamente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sicuri, ovvero su canali sicuri).</w:t>
            </w:r>
          </w:p>
        </w:tc>
        <w:tc>
          <w:tcPr>
            <w:tcW w:w="1358" w:type="dxa"/>
            <w:noWrap/>
            <w:vAlign w:val="center"/>
            <w:hideMark/>
          </w:tcPr>
          <w:p w14:paraId="2CD7F329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PR.AC-3 PR.MA-2</w:t>
            </w:r>
          </w:p>
        </w:tc>
      </w:tr>
      <w:tr w:rsidR="00F549B6" w:rsidRPr="00F549B6" w14:paraId="6D398BA3" w14:textId="77777777" w:rsidTr="00F549B6">
        <w:trPr>
          <w:trHeight w:val="1200"/>
        </w:trPr>
        <w:tc>
          <w:tcPr>
            <w:tcW w:w="1271" w:type="dxa"/>
            <w:noWrap/>
            <w:vAlign w:val="center"/>
            <w:hideMark/>
          </w:tcPr>
          <w:p w14:paraId="326D7DD8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4.1.1</w:t>
            </w:r>
          </w:p>
        </w:tc>
        <w:tc>
          <w:tcPr>
            <w:tcW w:w="6999" w:type="dxa"/>
            <w:vAlign w:val="center"/>
            <w:hideMark/>
          </w:tcPr>
          <w:p w14:paraId="2D818822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Ad ogni modifica significativa della configurazione eseguire la ricerca delle vulnerabilità su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tutti i sistemi in rete con strumenti automatici che forniscano a ciascun amministratore di sistema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report con indicazioni delle vulnerabilità più critiche.</w:t>
            </w:r>
          </w:p>
        </w:tc>
        <w:tc>
          <w:tcPr>
            <w:tcW w:w="1358" w:type="dxa"/>
            <w:noWrap/>
            <w:vAlign w:val="center"/>
            <w:hideMark/>
          </w:tcPr>
          <w:p w14:paraId="5D5050D3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ID.RA-1 DE.CM-8</w:t>
            </w:r>
          </w:p>
        </w:tc>
      </w:tr>
      <w:tr w:rsidR="00F549B6" w:rsidRPr="00F549B6" w14:paraId="275AC537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53AED603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4.4.1</w:t>
            </w:r>
          </w:p>
        </w:tc>
        <w:tc>
          <w:tcPr>
            <w:tcW w:w="6999" w:type="dxa"/>
            <w:vAlign w:val="center"/>
            <w:hideMark/>
          </w:tcPr>
          <w:p w14:paraId="75551D35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Assicurare che gli strumenti di scansione delle vulnerabilità utilizzati siano regolarmente aggiornati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con tutte le più rilevanti vulnerabilità di sicurezza.</w:t>
            </w:r>
          </w:p>
        </w:tc>
        <w:tc>
          <w:tcPr>
            <w:tcW w:w="1358" w:type="dxa"/>
            <w:noWrap/>
            <w:vAlign w:val="center"/>
            <w:hideMark/>
          </w:tcPr>
          <w:p w14:paraId="5D4E7E93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DE.CM-8</w:t>
            </w:r>
          </w:p>
        </w:tc>
      </w:tr>
      <w:tr w:rsidR="00F549B6" w:rsidRPr="00F549B6" w14:paraId="6CB14DE9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604C9377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4.5.1</w:t>
            </w:r>
          </w:p>
        </w:tc>
        <w:tc>
          <w:tcPr>
            <w:tcW w:w="6999" w:type="dxa"/>
            <w:vAlign w:val="center"/>
            <w:hideMark/>
          </w:tcPr>
          <w:p w14:paraId="74C216D1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Installare automaticamente le patch e gli aggiornamenti del software sia per il sistema operativo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sia per le applicazioni.</w:t>
            </w:r>
          </w:p>
        </w:tc>
        <w:tc>
          <w:tcPr>
            <w:tcW w:w="1358" w:type="dxa"/>
            <w:noWrap/>
            <w:vAlign w:val="center"/>
            <w:hideMark/>
          </w:tcPr>
          <w:p w14:paraId="54F240E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PR.MA-1</w:t>
            </w:r>
          </w:p>
        </w:tc>
      </w:tr>
      <w:tr w:rsidR="00F549B6" w:rsidRPr="00F549B6" w14:paraId="3F6C2554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6906DBFA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4.5.2</w:t>
            </w:r>
          </w:p>
        </w:tc>
        <w:tc>
          <w:tcPr>
            <w:tcW w:w="6999" w:type="dxa"/>
            <w:vAlign w:val="center"/>
            <w:hideMark/>
          </w:tcPr>
          <w:p w14:paraId="4731FB3C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Assicurare l’aggiornamento dei sistemi separati dalla rete, in particolare di quelli air-</w:t>
            </w:r>
            <w:proofErr w:type="spellStart"/>
            <w:r w:rsidRPr="00F549B6">
              <w:rPr>
                <w:sz w:val="22"/>
                <w:szCs w:val="22"/>
              </w:rPr>
              <w:t>gapped</w:t>
            </w:r>
            <w:proofErr w:type="spellEnd"/>
            <w:r w:rsidRPr="00F549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adottando misure adeguate al loro livello di criticità.</w:t>
            </w:r>
          </w:p>
        </w:tc>
        <w:tc>
          <w:tcPr>
            <w:tcW w:w="1358" w:type="dxa"/>
            <w:noWrap/>
            <w:vAlign w:val="center"/>
            <w:hideMark/>
          </w:tcPr>
          <w:p w14:paraId="637FF879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PR.MA-1</w:t>
            </w:r>
          </w:p>
        </w:tc>
      </w:tr>
      <w:tr w:rsidR="00F549B6" w:rsidRPr="00F549B6" w14:paraId="720C68BD" w14:textId="77777777" w:rsidTr="00F549B6">
        <w:trPr>
          <w:trHeight w:val="1200"/>
        </w:trPr>
        <w:tc>
          <w:tcPr>
            <w:tcW w:w="1271" w:type="dxa"/>
            <w:noWrap/>
            <w:vAlign w:val="center"/>
            <w:hideMark/>
          </w:tcPr>
          <w:p w14:paraId="32E0EC85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4.7.1</w:t>
            </w:r>
          </w:p>
        </w:tc>
        <w:tc>
          <w:tcPr>
            <w:tcW w:w="6999" w:type="dxa"/>
            <w:vAlign w:val="center"/>
            <w:hideMark/>
          </w:tcPr>
          <w:p w14:paraId="79DE7E75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Verificare che le vulnerabilità emerse dalle scansioni siano state risolte sia per mezzo di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patch, o implementando opportune contromisure oppure documentando e accettando un ragionevole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rischio.</w:t>
            </w:r>
          </w:p>
        </w:tc>
        <w:tc>
          <w:tcPr>
            <w:tcW w:w="1358" w:type="dxa"/>
            <w:noWrap/>
            <w:vAlign w:val="center"/>
            <w:hideMark/>
          </w:tcPr>
          <w:p w14:paraId="67A64E08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PR.IP-12 RS.MI-3</w:t>
            </w:r>
          </w:p>
        </w:tc>
      </w:tr>
      <w:tr w:rsidR="00F549B6" w:rsidRPr="00F549B6" w14:paraId="465BE6EF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611B00B6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4.8.1</w:t>
            </w:r>
          </w:p>
        </w:tc>
        <w:tc>
          <w:tcPr>
            <w:tcW w:w="6999" w:type="dxa"/>
            <w:vAlign w:val="center"/>
            <w:hideMark/>
          </w:tcPr>
          <w:p w14:paraId="63F72F3D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Definire un piano di gestione dei rischi che tenga conto dei livelli di gravità delle vulnerabilità, del potenziale impatto e della tipologia degli apparati (e.g. server esposti, server interni,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549B6">
              <w:rPr>
                <w:sz w:val="22"/>
                <w:szCs w:val="22"/>
              </w:rPr>
              <w:t>PdL</w:t>
            </w:r>
            <w:proofErr w:type="spellEnd"/>
            <w:r w:rsidRPr="00F549B6">
              <w:rPr>
                <w:sz w:val="22"/>
                <w:szCs w:val="22"/>
              </w:rPr>
              <w:t>, portatili, etc.).</w:t>
            </w:r>
          </w:p>
        </w:tc>
        <w:tc>
          <w:tcPr>
            <w:tcW w:w="1358" w:type="dxa"/>
            <w:vAlign w:val="center"/>
            <w:hideMark/>
          </w:tcPr>
          <w:p w14:paraId="1CDC314C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ID.RA-4 ID.RA-5</w:t>
            </w:r>
            <w:r w:rsidRPr="00F549B6">
              <w:rPr>
                <w:sz w:val="22"/>
                <w:szCs w:val="22"/>
              </w:rPr>
              <w:br/>
              <w:t>PR-IP.12</w:t>
            </w:r>
          </w:p>
        </w:tc>
      </w:tr>
      <w:tr w:rsidR="00F549B6" w:rsidRPr="00F549B6" w14:paraId="23BE56AF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4EB72CC0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lastRenderedPageBreak/>
              <w:t>4.8.2</w:t>
            </w:r>
          </w:p>
        </w:tc>
        <w:tc>
          <w:tcPr>
            <w:tcW w:w="6999" w:type="dxa"/>
            <w:vAlign w:val="center"/>
            <w:hideMark/>
          </w:tcPr>
          <w:p w14:paraId="643C97FE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Attribuire alle azioni per la risoluzione delle vulnerabilità un livello di priorità in base al rischio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associato. In particolare applicare le patch per le vulnerabilità a partire da quelle più critiche.</w:t>
            </w:r>
          </w:p>
        </w:tc>
        <w:tc>
          <w:tcPr>
            <w:tcW w:w="1358" w:type="dxa"/>
            <w:noWrap/>
            <w:vAlign w:val="center"/>
            <w:hideMark/>
          </w:tcPr>
          <w:p w14:paraId="039FC7BD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PR.IP-12</w:t>
            </w:r>
          </w:p>
        </w:tc>
      </w:tr>
      <w:tr w:rsidR="00F549B6" w:rsidRPr="00F549B6" w14:paraId="49B7E294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581033D1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5.1.1</w:t>
            </w:r>
          </w:p>
        </w:tc>
        <w:tc>
          <w:tcPr>
            <w:tcW w:w="6999" w:type="dxa"/>
            <w:vAlign w:val="center"/>
            <w:hideMark/>
          </w:tcPr>
          <w:p w14:paraId="00A0B444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Limitare i privilegi di amministrazione ai soli utenti che abbiano le competenze adeguate e la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 xml:space="preserve">necessità operativa di modificare la </w:t>
            </w:r>
            <w:r>
              <w:rPr>
                <w:sz w:val="22"/>
                <w:szCs w:val="22"/>
              </w:rPr>
              <w:t>c</w:t>
            </w:r>
            <w:r w:rsidRPr="00F549B6">
              <w:rPr>
                <w:sz w:val="22"/>
                <w:szCs w:val="22"/>
              </w:rPr>
              <w:t>onfigurazione dei sistemi.</w:t>
            </w:r>
          </w:p>
        </w:tc>
        <w:tc>
          <w:tcPr>
            <w:tcW w:w="1358" w:type="dxa"/>
            <w:noWrap/>
            <w:vAlign w:val="center"/>
            <w:hideMark/>
          </w:tcPr>
          <w:p w14:paraId="3030584A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PR.AC-4 PR.PT-3</w:t>
            </w:r>
          </w:p>
        </w:tc>
      </w:tr>
      <w:tr w:rsidR="00F549B6" w:rsidRPr="00F549B6" w14:paraId="7D55A2BA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2E7C28FD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5.1.2</w:t>
            </w:r>
          </w:p>
        </w:tc>
        <w:tc>
          <w:tcPr>
            <w:tcW w:w="6999" w:type="dxa"/>
            <w:vAlign w:val="center"/>
            <w:hideMark/>
          </w:tcPr>
          <w:p w14:paraId="6C3D2C34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Utilizzare le utenze amministrative solo per effettuare operazioni che ne richiedano i privilegi,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registrando ogni accesso effettuato.</w:t>
            </w:r>
          </w:p>
        </w:tc>
        <w:tc>
          <w:tcPr>
            <w:tcW w:w="1358" w:type="dxa"/>
            <w:noWrap/>
            <w:vAlign w:val="center"/>
            <w:hideMark/>
          </w:tcPr>
          <w:p w14:paraId="01D5ACD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PR.AC-4 PR.PT-3</w:t>
            </w:r>
          </w:p>
        </w:tc>
      </w:tr>
      <w:tr w:rsidR="00F549B6" w:rsidRPr="00A3698F" w14:paraId="3053AAAA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5950B0D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5.2.1</w:t>
            </w:r>
          </w:p>
        </w:tc>
        <w:tc>
          <w:tcPr>
            <w:tcW w:w="6999" w:type="dxa"/>
            <w:vAlign w:val="center"/>
            <w:hideMark/>
          </w:tcPr>
          <w:p w14:paraId="079DB913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Mantenere l’inventario di tutte le utenze amministrative, garantendo che ciascuna di esse sia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debitamente e formalmente autorizzata.</w:t>
            </w:r>
          </w:p>
        </w:tc>
        <w:tc>
          <w:tcPr>
            <w:tcW w:w="1358" w:type="dxa"/>
            <w:vAlign w:val="center"/>
            <w:hideMark/>
          </w:tcPr>
          <w:p w14:paraId="48D1B683" w14:textId="77777777" w:rsidR="00F549B6" w:rsidRPr="0037311D" w:rsidRDefault="00F549B6" w:rsidP="00F549B6">
            <w:pPr>
              <w:jc w:val="center"/>
              <w:rPr>
                <w:sz w:val="22"/>
                <w:szCs w:val="22"/>
                <w:lang w:val="en-US"/>
              </w:rPr>
            </w:pPr>
            <w:r w:rsidRPr="0037311D">
              <w:rPr>
                <w:lang w:val="en-US"/>
              </w:rPr>
              <w:t>ID.AM-6 PR.AT-2</w:t>
            </w:r>
            <w:r w:rsidRPr="0037311D">
              <w:rPr>
                <w:lang w:val="en-US"/>
              </w:rPr>
              <w:br/>
              <w:t>DE.CM-3</w:t>
            </w:r>
          </w:p>
        </w:tc>
      </w:tr>
      <w:tr w:rsidR="00F549B6" w:rsidRPr="00F549B6" w14:paraId="6091525F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14C704E4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5.3.1</w:t>
            </w:r>
          </w:p>
        </w:tc>
        <w:tc>
          <w:tcPr>
            <w:tcW w:w="6999" w:type="dxa"/>
            <w:vAlign w:val="center"/>
            <w:hideMark/>
          </w:tcPr>
          <w:p w14:paraId="32135D18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Prima di collegare alla rete un nuovo dispositivo sostituire le credenziali dell’amministratore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predefinito con valori coerenti con quelli delle utenze amministrative in uso.</w:t>
            </w:r>
          </w:p>
        </w:tc>
        <w:tc>
          <w:tcPr>
            <w:tcW w:w="1358" w:type="dxa"/>
            <w:noWrap/>
            <w:vAlign w:val="center"/>
            <w:hideMark/>
          </w:tcPr>
          <w:p w14:paraId="2BE73963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PR.IP-1</w:t>
            </w:r>
          </w:p>
        </w:tc>
      </w:tr>
      <w:tr w:rsidR="00F549B6" w:rsidRPr="00F549B6" w14:paraId="68C7881A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4211E452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5.7.1</w:t>
            </w:r>
          </w:p>
        </w:tc>
        <w:tc>
          <w:tcPr>
            <w:tcW w:w="6999" w:type="dxa"/>
            <w:vAlign w:val="center"/>
            <w:hideMark/>
          </w:tcPr>
          <w:p w14:paraId="43710783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Quando l’autenticazione a più fattori non è supportata, utilizzare per le utenze amministrative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credenziali di elevata robustezza (e.g. almeno 14 caratteri).</w:t>
            </w:r>
          </w:p>
        </w:tc>
        <w:tc>
          <w:tcPr>
            <w:tcW w:w="1358" w:type="dxa"/>
            <w:noWrap/>
            <w:vAlign w:val="center"/>
            <w:hideMark/>
          </w:tcPr>
          <w:p w14:paraId="623A11BE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PR.AC-1 PR.AT-2</w:t>
            </w:r>
          </w:p>
        </w:tc>
      </w:tr>
      <w:tr w:rsidR="00F549B6" w:rsidRPr="00F549B6" w14:paraId="6AE227DC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49BD44B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5.7.3</w:t>
            </w:r>
          </w:p>
        </w:tc>
        <w:tc>
          <w:tcPr>
            <w:tcW w:w="6999" w:type="dxa"/>
            <w:vAlign w:val="center"/>
            <w:hideMark/>
          </w:tcPr>
          <w:p w14:paraId="7D029A5D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Assicurare che le credenziali delle utenze amministrative vengano sostituite con sufficiente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 xml:space="preserve">frequenza (password </w:t>
            </w:r>
            <w:proofErr w:type="spellStart"/>
            <w:r w:rsidRPr="00F549B6">
              <w:rPr>
                <w:sz w:val="22"/>
                <w:szCs w:val="22"/>
              </w:rPr>
              <w:t>aging</w:t>
            </w:r>
            <w:proofErr w:type="spellEnd"/>
            <w:r w:rsidRPr="00F549B6">
              <w:rPr>
                <w:sz w:val="22"/>
                <w:szCs w:val="22"/>
              </w:rPr>
              <w:t>).</w:t>
            </w:r>
          </w:p>
        </w:tc>
        <w:tc>
          <w:tcPr>
            <w:tcW w:w="1358" w:type="dxa"/>
            <w:noWrap/>
            <w:vAlign w:val="center"/>
            <w:hideMark/>
          </w:tcPr>
          <w:p w14:paraId="67E8D938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PR.AC-1 PR.AT-2</w:t>
            </w:r>
          </w:p>
        </w:tc>
      </w:tr>
      <w:tr w:rsidR="00F549B6" w:rsidRPr="00F549B6" w14:paraId="3FF2F228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0120200E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5.7.4</w:t>
            </w:r>
          </w:p>
        </w:tc>
        <w:tc>
          <w:tcPr>
            <w:tcW w:w="6999" w:type="dxa"/>
            <w:vAlign w:val="center"/>
            <w:hideMark/>
          </w:tcPr>
          <w:p w14:paraId="487A79C0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Impedire che credenziali già utilizzate possano essere riutilizzate a breve distanza di tempo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 xml:space="preserve">(password </w:t>
            </w:r>
            <w:proofErr w:type="spellStart"/>
            <w:r w:rsidRPr="00F549B6">
              <w:rPr>
                <w:sz w:val="22"/>
                <w:szCs w:val="22"/>
              </w:rPr>
              <w:t>history</w:t>
            </w:r>
            <w:proofErr w:type="spellEnd"/>
            <w:r w:rsidRPr="00F549B6">
              <w:rPr>
                <w:sz w:val="22"/>
                <w:szCs w:val="22"/>
              </w:rPr>
              <w:t>).</w:t>
            </w:r>
          </w:p>
        </w:tc>
        <w:tc>
          <w:tcPr>
            <w:tcW w:w="1358" w:type="dxa"/>
            <w:noWrap/>
            <w:vAlign w:val="center"/>
            <w:hideMark/>
          </w:tcPr>
          <w:p w14:paraId="1D9D8B3A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PR.AC-1</w:t>
            </w:r>
          </w:p>
        </w:tc>
      </w:tr>
      <w:tr w:rsidR="00F549B6" w:rsidRPr="00F549B6" w14:paraId="733174F2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6640CA50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5.10.1</w:t>
            </w:r>
          </w:p>
        </w:tc>
        <w:tc>
          <w:tcPr>
            <w:tcW w:w="6999" w:type="dxa"/>
            <w:vAlign w:val="center"/>
            <w:hideMark/>
          </w:tcPr>
          <w:p w14:paraId="5E9E3A79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Assicurare la completa distinzione tra utenze privilegiate e non pr</w:t>
            </w:r>
            <w:r>
              <w:rPr>
                <w:sz w:val="22"/>
                <w:szCs w:val="22"/>
              </w:rPr>
              <w:t xml:space="preserve">ivilegiate degli amministratori, </w:t>
            </w:r>
            <w:r w:rsidRPr="00F549B6">
              <w:rPr>
                <w:sz w:val="22"/>
                <w:szCs w:val="22"/>
              </w:rPr>
              <w:t>alle quali debbono corrispondere credenziali diverse.</w:t>
            </w:r>
          </w:p>
        </w:tc>
        <w:tc>
          <w:tcPr>
            <w:tcW w:w="1358" w:type="dxa"/>
            <w:noWrap/>
            <w:vAlign w:val="center"/>
            <w:hideMark/>
          </w:tcPr>
          <w:p w14:paraId="773624D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ID.AM-6</w:t>
            </w:r>
          </w:p>
        </w:tc>
      </w:tr>
      <w:tr w:rsidR="00F549B6" w:rsidRPr="00F549B6" w14:paraId="29181458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4B606485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5.10.2</w:t>
            </w:r>
          </w:p>
        </w:tc>
        <w:tc>
          <w:tcPr>
            <w:tcW w:w="6999" w:type="dxa"/>
            <w:vAlign w:val="center"/>
            <w:hideMark/>
          </w:tcPr>
          <w:p w14:paraId="4BFD1EDA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Tutte le utenze, in particolare quelle amministrative, debbono essere nominative e riconducibili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ad una sola persona.</w:t>
            </w:r>
          </w:p>
        </w:tc>
        <w:tc>
          <w:tcPr>
            <w:tcW w:w="1358" w:type="dxa"/>
            <w:noWrap/>
            <w:vAlign w:val="center"/>
            <w:hideMark/>
          </w:tcPr>
          <w:p w14:paraId="4895778C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ID.AM-6</w:t>
            </w:r>
          </w:p>
        </w:tc>
      </w:tr>
      <w:tr w:rsidR="00F549B6" w:rsidRPr="00F549B6" w14:paraId="0E1E4DB7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1BD14FA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5.10.3</w:t>
            </w:r>
          </w:p>
        </w:tc>
        <w:tc>
          <w:tcPr>
            <w:tcW w:w="6999" w:type="dxa"/>
            <w:vAlign w:val="center"/>
            <w:hideMark/>
          </w:tcPr>
          <w:p w14:paraId="47EAACA3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Le utenze amministrative anonime, quali “</w:t>
            </w:r>
            <w:proofErr w:type="spellStart"/>
            <w:r w:rsidRPr="00F549B6">
              <w:rPr>
                <w:sz w:val="22"/>
                <w:szCs w:val="22"/>
              </w:rPr>
              <w:t>root</w:t>
            </w:r>
            <w:proofErr w:type="spellEnd"/>
            <w:r w:rsidRPr="00F549B6">
              <w:rPr>
                <w:sz w:val="22"/>
                <w:szCs w:val="22"/>
              </w:rPr>
              <w:t>” di UN</w:t>
            </w:r>
            <w:r>
              <w:rPr>
                <w:sz w:val="22"/>
                <w:szCs w:val="22"/>
              </w:rPr>
              <w:t xml:space="preserve">IX o “Administrator” di Windows </w:t>
            </w:r>
            <w:r w:rsidRPr="00F549B6">
              <w:rPr>
                <w:sz w:val="22"/>
                <w:szCs w:val="22"/>
              </w:rPr>
              <w:t>debbono essere utilizzate solo per le situazioni di emergenza e le relative credenziali debbono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esser</w:t>
            </w:r>
            <w:r>
              <w:rPr>
                <w:sz w:val="22"/>
                <w:szCs w:val="22"/>
              </w:rPr>
              <w:t>e gestite in modo da assicurare l</w:t>
            </w:r>
            <w:r w:rsidRPr="00F549B6">
              <w:rPr>
                <w:sz w:val="22"/>
                <w:szCs w:val="22"/>
              </w:rPr>
              <w:t>’imputabilità di chi ne fa uso.</w:t>
            </w:r>
          </w:p>
        </w:tc>
        <w:tc>
          <w:tcPr>
            <w:tcW w:w="1358" w:type="dxa"/>
            <w:noWrap/>
            <w:vAlign w:val="center"/>
            <w:hideMark/>
          </w:tcPr>
          <w:p w14:paraId="10EDCEAC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ID.AM-6 PR.AT-2</w:t>
            </w:r>
          </w:p>
        </w:tc>
      </w:tr>
      <w:tr w:rsidR="00F549B6" w:rsidRPr="00F549B6" w14:paraId="1C265377" w14:textId="77777777" w:rsidTr="00F549B6">
        <w:trPr>
          <w:trHeight w:val="545"/>
        </w:trPr>
        <w:tc>
          <w:tcPr>
            <w:tcW w:w="1271" w:type="dxa"/>
            <w:noWrap/>
            <w:vAlign w:val="center"/>
            <w:hideMark/>
          </w:tcPr>
          <w:p w14:paraId="3B9825E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5.11.1</w:t>
            </w:r>
          </w:p>
        </w:tc>
        <w:tc>
          <w:tcPr>
            <w:tcW w:w="6999" w:type="dxa"/>
            <w:noWrap/>
            <w:vAlign w:val="center"/>
            <w:hideMark/>
          </w:tcPr>
          <w:p w14:paraId="56F38A4D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Conservare le credenziali amministrative in modo da garantirne disponibilità e riservatezza.</w:t>
            </w:r>
          </w:p>
        </w:tc>
        <w:tc>
          <w:tcPr>
            <w:tcW w:w="1358" w:type="dxa"/>
            <w:noWrap/>
            <w:vAlign w:val="center"/>
            <w:hideMark/>
          </w:tcPr>
          <w:p w14:paraId="580D9552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PR.AC-1 PR.AT-2</w:t>
            </w:r>
          </w:p>
        </w:tc>
      </w:tr>
      <w:tr w:rsidR="00F549B6" w:rsidRPr="00F549B6" w14:paraId="1E35B034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055CCC8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5.11.2</w:t>
            </w:r>
          </w:p>
        </w:tc>
        <w:tc>
          <w:tcPr>
            <w:tcW w:w="6999" w:type="dxa"/>
            <w:vAlign w:val="center"/>
            <w:hideMark/>
          </w:tcPr>
          <w:p w14:paraId="542032A2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Se per l’autenticazione si utilizzano certificati digitali, garantire che le chiavi private siano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adeguatamente protette.</w:t>
            </w:r>
          </w:p>
        </w:tc>
        <w:tc>
          <w:tcPr>
            <w:tcW w:w="1358" w:type="dxa"/>
            <w:noWrap/>
            <w:vAlign w:val="center"/>
            <w:hideMark/>
          </w:tcPr>
          <w:p w14:paraId="724362E4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PR.AC-1 PR.AT-2</w:t>
            </w:r>
          </w:p>
        </w:tc>
      </w:tr>
      <w:tr w:rsidR="00F549B6" w:rsidRPr="00F549B6" w14:paraId="2222D1DA" w14:textId="77777777" w:rsidTr="00F549B6">
        <w:trPr>
          <w:trHeight w:val="1200"/>
        </w:trPr>
        <w:tc>
          <w:tcPr>
            <w:tcW w:w="1271" w:type="dxa"/>
            <w:noWrap/>
            <w:vAlign w:val="center"/>
            <w:hideMark/>
          </w:tcPr>
          <w:p w14:paraId="0CB5799C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8.1.1</w:t>
            </w:r>
          </w:p>
        </w:tc>
        <w:tc>
          <w:tcPr>
            <w:tcW w:w="6999" w:type="dxa"/>
            <w:vAlign w:val="center"/>
            <w:hideMark/>
          </w:tcPr>
          <w:p w14:paraId="29070A6C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Installare su tutti i sistemi connessi alla rete locale strumenti atti a rilevare la presenza e bloccare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 xml:space="preserve">l’esecuzione di </w:t>
            </w:r>
            <w:proofErr w:type="spellStart"/>
            <w:r w:rsidRPr="00F549B6">
              <w:rPr>
                <w:sz w:val="22"/>
                <w:szCs w:val="22"/>
              </w:rPr>
              <w:t>malware</w:t>
            </w:r>
            <w:proofErr w:type="spellEnd"/>
            <w:r w:rsidRPr="00F549B6">
              <w:rPr>
                <w:sz w:val="22"/>
                <w:szCs w:val="22"/>
              </w:rPr>
              <w:t xml:space="preserve"> (antivirus locali). Tali strumenti sono mantenuti aggiornati in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modo automatico.</w:t>
            </w:r>
          </w:p>
        </w:tc>
        <w:tc>
          <w:tcPr>
            <w:tcW w:w="1358" w:type="dxa"/>
            <w:noWrap/>
            <w:vAlign w:val="center"/>
            <w:hideMark/>
          </w:tcPr>
          <w:p w14:paraId="0E27A648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DE.CM-4 DE.CM-5</w:t>
            </w:r>
          </w:p>
        </w:tc>
      </w:tr>
      <w:tr w:rsidR="00F549B6" w:rsidRPr="00F549B6" w14:paraId="1A108F96" w14:textId="77777777" w:rsidTr="00F549B6">
        <w:trPr>
          <w:trHeight w:val="480"/>
        </w:trPr>
        <w:tc>
          <w:tcPr>
            <w:tcW w:w="1271" w:type="dxa"/>
            <w:noWrap/>
            <w:vAlign w:val="center"/>
            <w:hideMark/>
          </w:tcPr>
          <w:p w14:paraId="2CD96CCA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8.1.2</w:t>
            </w:r>
          </w:p>
        </w:tc>
        <w:tc>
          <w:tcPr>
            <w:tcW w:w="6999" w:type="dxa"/>
            <w:noWrap/>
            <w:vAlign w:val="center"/>
            <w:hideMark/>
          </w:tcPr>
          <w:p w14:paraId="2C2F5DFF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Installare su tutti i dispositivi firewall ed IPS personali.</w:t>
            </w:r>
          </w:p>
        </w:tc>
        <w:tc>
          <w:tcPr>
            <w:tcW w:w="1358" w:type="dxa"/>
            <w:noWrap/>
            <w:vAlign w:val="center"/>
            <w:hideMark/>
          </w:tcPr>
          <w:p w14:paraId="3035C698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DE.CM-1</w:t>
            </w:r>
          </w:p>
        </w:tc>
      </w:tr>
      <w:tr w:rsidR="00F549B6" w:rsidRPr="00F549B6" w14:paraId="112E0688" w14:textId="77777777" w:rsidTr="00F549B6">
        <w:trPr>
          <w:trHeight w:val="555"/>
        </w:trPr>
        <w:tc>
          <w:tcPr>
            <w:tcW w:w="1271" w:type="dxa"/>
            <w:noWrap/>
            <w:vAlign w:val="center"/>
            <w:hideMark/>
          </w:tcPr>
          <w:p w14:paraId="08612338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8.3.1</w:t>
            </w:r>
          </w:p>
        </w:tc>
        <w:tc>
          <w:tcPr>
            <w:tcW w:w="6999" w:type="dxa"/>
            <w:noWrap/>
            <w:vAlign w:val="center"/>
            <w:hideMark/>
          </w:tcPr>
          <w:p w14:paraId="1190D7E4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Limitare l’uso di dispositivi esterni a quelli necessari per le attività aziendali.</w:t>
            </w:r>
          </w:p>
        </w:tc>
        <w:tc>
          <w:tcPr>
            <w:tcW w:w="1358" w:type="dxa"/>
            <w:noWrap/>
            <w:vAlign w:val="center"/>
            <w:hideMark/>
          </w:tcPr>
          <w:p w14:paraId="7CB6F04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PR.PT-3 DE.CM-7</w:t>
            </w:r>
          </w:p>
        </w:tc>
      </w:tr>
      <w:tr w:rsidR="00F549B6" w:rsidRPr="00F549B6" w14:paraId="09834DDA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2DBD3E63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8.7.1</w:t>
            </w:r>
          </w:p>
        </w:tc>
        <w:tc>
          <w:tcPr>
            <w:tcW w:w="6999" w:type="dxa"/>
            <w:vAlign w:val="center"/>
            <w:hideMark/>
          </w:tcPr>
          <w:p w14:paraId="500F3188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Disattivare l’esecuzione automatica dei contenuti al momento della connessione dei dispositivi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removibili.</w:t>
            </w:r>
          </w:p>
        </w:tc>
        <w:tc>
          <w:tcPr>
            <w:tcW w:w="1358" w:type="dxa"/>
            <w:noWrap/>
            <w:vAlign w:val="center"/>
            <w:hideMark/>
          </w:tcPr>
          <w:p w14:paraId="71EC18E0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PR.PT-2</w:t>
            </w:r>
          </w:p>
        </w:tc>
      </w:tr>
      <w:tr w:rsidR="00F549B6" w:rsidRPr="00F549B6" w14:paraId="0D6DE090" w14:textId="77777777" w:rsidTr="00F549B6">
        <w:trPr>
          <w:trHeight w:val="631"/>
        </w:trPr>
        <w:tc>
          <w:tcPr>
            <w:tcW w:w="1271" w:type="dxa"/>
            <w:noWrap/>
            <w:vAlign w:val="center"/>
            <w:hideMark/>
          </w:tcPr>
          <w:p w14:paraId="0D4E5D12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8.7.2</w:t>
            </w:r>
          </w:p>
        </w:tc>
        <w:tc>
          <w:tcPr>
            <w:tcW w:w="6999" w:type="dxa"/>
            <w:noWrap/>
            <w:vAlign w:val="center"/>
            <w:hideMark/>
          </w:tcPr>
          <w:p w14:paraId="125529D9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Disattivare l’esecuzione automatica dei contenuti dinamici (e.g. macro) presenti nei file.</w:t>
            </w:r>
          </w:p>
        </w:tc>
        <w:tc>
          <w:tcPr>
            <w:tcW w:w="1358" w:type="dxa"/>
            <w:noWrap/>
            <w:vAlign w:val="center"/>
            <w:hideMark/>
          </w:tcPr>
          <w:p w14:paraId="6833270C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PR.AT-1 DE.CM-4</w:t>
            </w:r>
          </w:p>
        </w:tc>
      </w:tr>
      <w:tr w:rsidR="00F549B6" w:rsidRPr="00F549B6" w14:paraId="1CD414FB" w14:textId="77777777" w:rsidTr="00F549B6">
        <w:trPr>
          <w:trHeight w:val="300"/>
        </w:trPr>
        <w:tc>
          <w:tcPr>
            <w:tcW w:w="1271" w:type="dxa"/>
            <w:noWrap/>
            <w:vAlign w:val="center"/>
            <w:hideMark/>
          </w:tcPr>
          <w:p w14:paraId="4B4CA8B0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8.7.3</w:t>
            </w:r>
          </w:p>
        </w:tc>
        <w:tc>
          <w:tcPr>
            <w:tcW w:w="6999" w:type="dxa"/>
            <w:noWrap/>
            <w:vAlign w:val="center"/>
            <w:hideMark/>
          </w:tcPr>
          <w:p w14:paraId="56F04080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Disattivare l’apertura automatica dei messaggi di posta elettronica.</w:t>
            </w:r>
          </w:p>
        </w:tc>
        <w:tc>
          <w:tcPr>
            <w:tcW w:w="1358" w:type="dxa"/>
            <w:noWrap/>
            <w:vAlign w:val="center"/>
            <w:hideMark/>
          </w:tcPr>
          <w:p w14:paraId="59E76329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PR.AT-1 DE.CM-4</w:t>
            </w:r>
          </w:p>
        </w:tc>
      </w:tr>
      <w:tr w:rsidR="00F549B6" w:rsidRPr="00F549B6" w14:paraId="72BD620D" w14:textId="77777777" w:rsidTr="00F549B6">
        <w:trPr>
          <w:trHeight w:val="300"/>
        </w:trPr>
        <w:tc>
          <w:tcPr>
            <w:tcW w:w="1271" w:type="dxa"/>
            <w:noWrap/>
            <w:vAlign w:val="center"/>
            <w:hideMark/>
          </w:tcPr>
          <w:p w14:paraId="0F35A90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8.7.4</w:t>
            </w:r>
          </w:p>
        </w:tc>
        <w:tc>
          <w:tcPr>
            <w:tcW w:w="6999" w:type="dxa"/>
            <w:noWrap/>
            <w:vAlign w:val="center"/>
            <w:hideMark/>
          </w:tcPr>
          <w:p w14:paraId="18A2C5E4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Disattivare l’anteprima automatica dei contenuti dei file.</w:t>
            </w:r>
          </w:p>
        </w:tc>
        <w:tc>
          <w:tcPr>
            <w:tcW w:w="1358" w:type="dxa"/>
            <w:noWrap/>
            <w:vAlign w:val="center"/>
            <w:hideMark/>
          </w:tcPr>
          <w:p w14:paraId="378E8CD4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PR.AT-1 DE.CM-4</w:t>
            </w:r>
          </w:p>
        </w:tc>
      </w:tr>
      <w:tr w:rsidR="00F549B6" w:rsidRPr="00F549B6" w14:paraId="36A3AB3F" w14:textId="77777777" w:rsidTr="00F549B6">
        <w:trPr>
          <w:trHeight w:val="600"/>
        </w:trPr>
        <w:tc>
          <w:tcPr>
            <w:tcW w:w="1271" w:type="dxa"/>
            <w:noWrap/>
            <w:vAlign w:val="center"/>
            <w:hideMark/>
          </w:tcPr>
          <w:p w14:paraId="66678009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lastRenderedPageBreak/>
              <w:t>8.8.1</w:t>
            </w:r>
          </w:p>
        </w:tc>
        <w:tc>
          <w:tcPr>
            <w:tcW w:w="6999" w:type="dxa"/>
            <w:vAlign w:val="center"/>
            <w:hideMark/>
          </w:tcPr>
          <w:p w14:paraId="2BA7C817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Eseguire automaticamente una scansione anti-</w:t>
            </w:r>
            <w:proofErr w:type="spellStart"/>
            <w:r w:rsidRPr="00F549B6">
              <w:rPr>
                <w:sz w:val="22"/>
                <w:szCs w:val="22"/>
              </w:rPr>
              <w:t>malware</w:t>
            </w:r>
            <w:proofErr w:type="spellEnd"/>
            <w:r w:rsidRPr="00F549B6">
              <w:rPr>
                <w:sz w:val="22"/>
                <w:szCs w:val="22"/>
              </w:rPr>
              <w:t xml:space="preserve"> dei supporti rimuovibili al momento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della loro connessione.</w:t>
            </w:r>
          </w:p>
        </w:tc>
        <w:tc>
          <w:tcPr>
            <w:tcW w:w="1358" w:type="dxa"/>
            <w:noWrap/>
            <w:vAlign w:val="center"/>
            <w:hideMark/>
          </w:tcPr>
          <w:p w14:paraId="5EB3E6A2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PR.PT-2 DE.CM-4</w:t>
            </w:r>
          </w:p>
        </w:tc>
      </w:tr>
      <w:tr w:rsidR="00F549B6" w:rsidRPr="00F549B6" w14:paraId="2CF8713B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3FED53EC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8.9.1</w:t>
            </w:r>
          </w:p>
        </w:tc>
        <w:tc>
          <w:tcPr>
            <w:tcW w:w="6999" w:type="dxa"/>
            <w:vAlign w:val="center"/>
            <w:hideMark/>
          </w:tcPr>
          <w:p w14:paraId="0EB95BE1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Filtrare il contenuto dei messaggi di posta prima che questi raggiungano la casella del destinatario,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prevedendo anche l’impiego di strumenti antispam.</w:t>
            </w:r>
          </w:p>
        </w:tc>
        <w:tc>
          <w:tcPr>
            <w:tcW w:w="1358" w:type="dxa"/>
            <w:noWrap/>
            <w:vAlign w:val="center"/>
            <w:hideMark/>
          </w:tcPr>
          <w:p w14:paraId="780683BA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DE.CM-1 DE.CM-4</w:t>
            </w:r>
          </w:p>
        </w:tc>
      </w:tr>
      <w:tr w:rsidR="00F549B6" w:rsidRPr="00F549B6" w14:paraId="3384FF3F" w14:textId="77777777" w:rsidTr="00F549B6">
        <w:trPr>
          <w:trHeight w:val="405"/>
        </w:trPr>
        <w:tc>
          <w:tcPr>
            <w:tcW w:w="1271" w:type="dxa"/>
            <w:noWrap/>
            <w:vAlign w:val="center"/>
            <w:hideMark/>
          </w:tcPr>
          <w:p w14:paraId="521CA53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8.9.2</w:t>
            </w:r>
          </w:p>
        </w:tc>
        <w:tc>
          <w:tcPr>
            <w:tcW w:w="6999" w:type="dxa"/>
            <w:noWrap/>
            <w:vAlign w:val="center"/>
            <w:hideMark/>
          </w:tcPr>
          <w:p w14:paraId="2FFC404C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Filtrare il contenuto del traffico web.</w:t>
            </w:r>
          </w:p>
        </w:tc>
        <w:tc>
          <w:tcPr>
            <w:tcW w:w="1358" w:type="dxa"/>
            <w:noWrap/>
            <w:vAlign w:val="center"/>
            <w:hideMark/>
          </w:tcPr>
          <w:p w14:paraId="7B3B785A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DE.CM-1 DE.CM-4</w:t>
            </w:r>
          </w:p>
        </w:tc>
      </w:tr>
      <w:tr w:rsidR="00F549B6" w:rsidRPr="00F549B6" w14:paraId="6628673C" w14:textId="77777777" w:rsidTr="00F549B6">
        <w:trPr>
          <w:trHeight w:val="842"/>
        </w:trPr>
        <w:tc>
          <w:tcPr>
            <w:tcW w:w="1271" w:type="dxa"/>
            <w:noWrap/>
            <w:vAlign w:val="center"/>
            <w:hideMark/>
          </w:tcPr>
          <w:p w14:paraId="1040D2C1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8.9.3</w:t>
            </w:r>
          </w:p>
        </w:tc>
        <w:tc>
          <w:tcPr>
            <w:tcW w:w="6999" w:type="dxa"/>
            <w:vAlign w:val="center"/>
            <w:hideMark/>
          </w:tcPr>
          <w:p w14:paraId="21E1F8CD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Bloccare nella posta elettronica e nel traffico web i file la cui tipologia non è strettamente necessaria per l’organizzazione ed è potenzialmente pericolosa (e.g. .</w:t>
            </w:r>
            <w:proofErr w:type="spellStart"/>
            <w:r w:rsidRPr="00F549B6">
              <w:rPr>
                <w:sz w:val="22"/>
                <w:szCs w:val="22"/>
              </w:rPr>
              <w:t>cab</w:t>
            </w:r>
            <w:proofErr w:type="spellEnd"/>
            <w:r w:rsidRPr="00F549B6">
              <w:rPr>
                <w:sz w:val="22"/>
                <w:szCs w:val="22"/>
              </w:rPr>
              <w:t>).</w:t>
            </w:r>
          </w:p>
        </w:tc>
        <w:tc>
          <w:tcPr>
            <w:tcW w:w="1358" w:type="dxa"/>
            <w:noWrap/>
            <w:vAlign w:val="center"/>
            <w:hideMark/>
          </w:tcPr>
          <w:p w14:paraId="75129D45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DE.CM-1 DE.CM-4</w:t>
            </w:r>
          </w:p>
        </w:tc>
      </w:tr>
      <w:tr w:rsidR="00F549B6" w:rsidRPr="00F549B6" w14:paraId="5194E758" w14:textId="77777777" w:rsidTr="00F549B6">
        <w:trPr>
          <w:trHeight w:val="900"/>
        </w:trPr>
        <w:tc>
          <w:tcPr>
            <w:tcW w:w="1271" w:type="dxa"/>
            <w:noWrap/>
            <w:vAlign w:val="center"/>
            <w:hideMark/>
          </w:tcPr>
          <w:p w14:paraId="370D5CB6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10.1.1</w:t>
            </w:r>
          </w:p>
        </w:tc>
        <w:tc>
          <w:tcPr>
            <w:tcW w:w="6999" w:type="dxa"/>
            <w:vAlign w:val="center"/>
            <w:hideMark/>
          </w:tcPr>
          <w:p w14:paraId="16AA8BE2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Effettuare almeno settimanalmente una copia di sicurezza almeno delle informazioni strettamente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necessarie per il completo ripristino del sistema.</w:t>
            </w:r>
          </w:p>
        </w:tc>
        <w:tc>
          <w:tcPr>
            <w:tcW w:w="1358" w:type="dxa"/>
            <w:noWrap/>
            <w:vAlign w:val="center"/>
            <w:hideMark/>
          </w:tcPr>
          <w:p w14:paraId="27C527CF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PR.IP-4</w:t>
            </w:r>
          </w:p>
        </w:tc>
      </w:tr>
      <w:tr w:rsidR="00F549B6" w:rsidRPr="00F549B6" w14:paraId="6B660304" w14:textId="77777777" w:rsidTr="00F549B6">
        <w:trPr>
          <w:trHeight w:val="1200"/>
        </w:trPr>
        <w:tc>
          <w:tcPr>
            <w:tcW w:w="1271" w:type="dxa"/>
            <w:noWrap/>
            <w:vAlign w:val="center"/>
            <w:hideMark/>
          </w:tcPr>
          <w:p w14:paraId="587C0F2E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10.3.1</w:t>
            </w:r>
          </w:p>
        </w:tc>
        <w:tc>
          <w:tcPr>
            <w:tcW w:w="6999" w:type="dxa"/>
            <w:vAlign w:val="center"/>
            <w:hideMark/>
          </w:tcPr>
          <w:p w14:paraId="2A5F4D5A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Assicurare la riservatezza delle informazioni contenute nelle copie di sicurezza mediante adeguata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protezione fisica dei supporti ovvero mediante cifratura. La codifica effettuata prima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 xml:space="preserve">della trasmissione consente la </w:t>
            </w:r>
            <w:proofErr w:type="spellStart"/>
            <w:r w:rsidRPr="00F549B6">
              <w:rPr>
                <w:sz w:val="22"/>
                <w:szCs w:val="22"/>
              </w:rPr>
              <w:t>remotizzazione</w:t>
            </w:r>
            <w:proofErr w:type="spellEnd"/>
            <w:r w:rsidRPr="00F549B6">
              <w:rPr>
                <w:sz w:val="22"/>
                <w:szCs w:val="22"/>
              </w:rPr>
              <w:t xml:space="preserve"> del backup anche nel </w:t>
            </w:r>
            <w:proofErr w:type="spellStart"/>
            <w:r w:rsidRPr="00F549B6">
              <w:rPr>
                <w:sz w:val="22"/>
                <w:szCs w:val="22"/>
              </w:rPr>
              <w:t>cloud</w:t>
            </w:r>
            <w:proofErr w:type="spellEnd"/>
            <w:r w:rsidRPr="00F549B6">
              <w:rPr>
                <w:sz w:val="22"/>
                <w:szCs w:val="22"/>
              </w:rPr>
              <w:t>.</w:t>
            </w:r>
          </w:p>
        </w:tc>
        <w:tc>
          <w:tcPr>
            <w:tcW w:w="1358" w:type="dxa"/>
            <w:noWrap/>
            <w:vAlign w:val="center"/>
            <w:hideMark/>
          </w:tcPr>
          <w:p w14:paraId="25272FEB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PR.DS-6</w:t>
            </w:r>
          </w:p>
        </w:tc>
      </w:tr>
      <w:tr w:rsidR="00F549B6" w:rsidRPr="00F549B6" w14:paraId="0EFB5236" w14:textId="77777777" w:rsidTr="00F549B6">
        <w:trPr>
          <w:trHeight w:val="1200"/>
        </w:trPr>
        <w:tc>
          <w:tcPr>
            <w:tcW w:w="1271" w:type="dxa"/>
            <w:noWrap/>
            <w:vAlign w:val="center"/>
            <w:hideMark/>
          </w:tcPr>
          <w:p w14:paraId="438E9695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10.4.1</w:t>
            </w:r>
          </w:p>
        </w:tc>
        <w:tc>
          <w:tcPr>
            <w:tcW w:w="6999" w:type="dxa"/>
            <w:vAlign w:val="center"/>
            <w:hideMark/>
          </w:tcPr>
          <w:p w14:paraId="50339BC8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Assicurarsi che i supporti contenenti almeno una delle copie non siano permanentemente accessibili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dal sistema onde evitare che attacchi su questo possano coinvolgere anche tutte le sue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copie di sicurezza.</w:t>
            </w:r>
          </w:p>
        </w:tc>
        <w:tc>
          <w:tcPr>
            <w:tcW w:w="1358" w:type="dxa"/>
            <w:vAlign w:val="center"/>
            <w:hideMark/>
          </w:tcPr>
          <w:p w14:paraId="66EC36B3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PR.AC-2 PR.IP-4</w:t>
            </w:r>
            <w:r w:rsidRPr="00F549B6">
              <w:rPr>
                <w:sz w:val="22"/>
                <w:szCs w:val="22"/>
              </w:rPr>
              <w:br/>
              <w:t>PR.IP-5 PR.IP-9</w:t>
            </w:r>
          </w:p>
        </w:tc>
      </w:tr>
      <w:tr w:rsidR="00F549B6" w:rsidRPr="00F549B6" w14:paraId="1AEE321B" w14:textId="77777777" w:rsidTr="00F549B6">
        <w:trPr>
          <w:trHeight w:val="917"/>
        </w:trPr>
        <w:tc>
          <w:tcPr>
            <w:tcW w:w="1271" w:type="dxa"/>
            <w:noWrap/>
            <w:vAlign w:val="center"/>
            <w:hideMark/>
          </w:tcPr>
          <w:p w14:paraId="5A8DABA5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13.1.1</w:t>
            </w:r>
          </w:p>
        </w:tc>
        <w:tc>
          <w:tcPr>
            <w:tcW w:w="6999" w:type="dxa"/>
            <w:vAlign w:val="center"/>
            <w:hideMark/>
          </w:tcPr>
          <w:p w14:paraId="07FEC478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Effettuare un’analisi dei dati per individuare quelli con particolari requisiti di riservatezza (dati</w:t>
            </w:r>
            <w:r>
              <w:rPr>
                <w:sz w:val="22"/>
                <w:szCs w:val="22"/>
              </w:rPr>
              <w:t xml:space="preserve"> </w:t>
            </w:r>
            <w:r w:rsidRPr="00F549B6">
              <w:rPr>
                <w:sz w:val="22"/>
                <w:szCs w:val="22"/>
              </w:rPr>
              <w:t>rilevanti) e segnatamente quelli ai quali va applicata la protezione crittografica</w:t>
            </w:r>
          </w:p>
        </w:tc>
        <w:tc>
          <w:tcPr>
            <w:tcW w:w="1358" w:type="dxa"/>
            <w:noWrap/>
            <w:vAlign w:val="center"/>
            <w:hideMark/>
          </w:tcPr>
          <w:p w14:paraId="53C3D5CE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ID.AM-5</w:t>
            </w:r>
          </w:p>
        </w:tc>
      </w:tr>
      <w:tr w:rsidR="00F549B6" w:rsidRPr="00A3698F" w14:paraId="1DFE223B" w14:textId="77777777" w:rsidTr="00F549B6">
        <w:trPr>
          <w:trHeight w:val="570"/>
        </w:trPr>
        <w:tc>
          <w:tcPr>
            <w:tcW w:w="1271" w:type="dxa"/>
            <w:noWrap/>
            <w:vAlign w:val="center"/>
            <w:hideMark/>
          </w:tcPr>
          <w:p w14:paraId="3F04E95C" w14:textId="77777777" w:rsidR="00F549B6" w:rsidRPr="00F549B6" w:rsidRDefault="00F549B6" w:rsidP="00F549B6">
            <w:pPr>
              <w:jc w:val="center"/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>13.8.1</w:t>
            </w:r>
          </w:p>
        </w:tc>
        <w:tc>
          <w:tcPr>
            <w:tcW w:w="6999" w:type="dxa"/>
            <w:noWrap/>
            <w:vAlign w:val="center"/>
            <w:hideMark/>
          </w:tcPr>
          <w:p w14:paraId="3A794710" w14:textId="77777777" w:rsidR="00F549B6" w:rsidRPr="00F549B6" w:rsidRDefault="00F549B6" w:rsidP="00F549B6">
            <w:pPr>
              <w:rPr>
                <w:sz w:val="22"/>
                <w:szCs w:val="22"/>
              </w:rPr>
            </w:pPr>
            <w:r w:rsidRPr="00F549B6">
              <w:rPr>
                <w:sz w:val="22"/>
                <w:szCs w:val="22"/>
              </w:rPr>
              <w:t xml:space="preserve">Bloccare il traffico da e verso </w:t>
            </w:r>
            <w:proofErr w:type="spellStart"/>
            <w:r w:rsidRPr="00F549B6">
              <w:rPr>
                <w:sz w:val="22"/>
                <w:szCs w:val="22"/>
              </w:rPr>
              <w:t>url</w:t>
            </w:r>
            <w:proofErr w:type="spellEnd"/>
            <w:r w:rsidRPr="00F549B6">
              <w:rPr>
                <w:sz w:val="22"/>
                <w:szCs w:val="22"/>
              </w:rPr>
              <w:t xml:space="preserve"> presenti in una </w:t>
            </w:r>
            <w:proofErr w:type="spellStart"/>
            <w:r w:rsidRPr="00F549B6">
              <w:rPr>
                <w:sz w:val="22"/>
                <w:szCs w:val="22"/>
              </w:rPr>
              <w:t>blacklist</w:t>
            </w:r>
            <w:proofErr w:type="spellEnd"/>
            <w:r w:rsidRPr="00F549B6">
              <w:rPr>
                <w:sz w:val="22"/>
                <w:szCs w:val="22"/>
              </w:rPr>
              <w:t>.</w:t>
            </w:r>
          </w:p>
        </w:tc>
        <w:tc>
          <w:tcPr>
            <w:tcW w:w="1358" w:type="dxa"/>
            <w:vAlign w:val="center"/>
            <w:hideMark/>
          </w:tcPr>
          <w:p w14:paraId="59A80614" w14:textId="77777777" w:rsidR="00F549B6" w:rsidRPr="000531AE" w:rsidRDefault="00F549B6" w:rsidP="00F549B6">
            <w:pPr>
              <w:jc w:val="center"/>
              <w:rPr>
                <w:sz w:val="22"/>
                <w:szCs w:val="22"/>
                <w:lang w:val="de-DE"/>
              </w:rPr>
            </w:pPr>
            <w:r w:rsidRPr="000531AE">
              <w:rPr>
                <w:sz w:val="22"/>
                <w:szCs w:val="22"/>
                <w:lang w:val="de-DE"/>
              </w:rPr>
              <w:t>ID.-AM3 PR.DS-5</w:t>
            </w:r>
            <w:r w:rsidRPr="000531AE">
              <w:rPr>
                <w:sz w:val="22"/>
                <w:szCs w:val="22"/>
                <w:lang w:val="de-DE"/>
              </w:rPr>
              <w:br/>
              <w:t>DE.CM-1</w:t>
            </w:r>
          </w:p>
        </w:tc>
      </w:tr>
    </w:tbl>
    <w:p w14:paraId="3973F9AA" w14:textId="77777777" w:rsidR="00F549B6" w:rsidRPr="000531AE" w:rsidRDefault="00F549B6" w:rsidP="00F549B6">
      <w:pPr>
        <w:jc w:val="center"/>
        <w:rPr>
          <w:b/>
          <w:lang w:val="de-DE"/>
        </w:rPr>
      </w:pPr>
    </w:p>
    <w:p w14:paraId="313DCC7F" w14:textId="77777777" w:rsidR="00F549B6" w:rsidRPr="000531AE" w:rsidRDefault="00F549B6" w:rsidP="00F549B6">
      <w:pPr>
        <w:rPr>
          <w:lang w:val="de-DE"/>
        </w:rPr>
      </w:pPr>
    </w:p>
    <w:p w14:paraId="2ADAE088" w14:textId="77777777" w:rsidR="00F549B6" w:rsidRPr="000531AE" w:rsidRDefault="00F549B6" w:rsidP="00F549B6">
      <w:pPr>
        <w:rPr>
          <w:lang w:val="de-DE"/>
        </w:rPr>
      </w:pPr>
    </w:p>
    <w:p w14:paraId="482270F8" w14:textId="77777777" w:rsidR="00131362" w:rsidRPr="000531AE" w:rsidRDefault="00131362" w:rsidP="00F549B6">
      <w:pPr>
        <w:rPr>
          <w:lang w:val="de-DE"/>
        </w:rPr>
      </w:pPr>
    </w:p>
    <w:p w14:paraId="6C54BF8B" w14:textId="77777777" w:rsidR="00131362" w:rsidRPr="000531AE" w:rsidRDefault="00131362" w:rsidP="00F549B6">
      <w:pPr>
        <w:rPr>
          <w:lang w:val="de-DE"/>
        </w:rPr>
      </w:pPr>
    </w:p>
    <w:p w14:paraId="0A453574" w14:textId="77777777" w:rsidR="00131362" w:rsidRPr="000531AE" w:rsidRDefault="00131362" w:rsidP="00F549B6">
      <w:pPr>
        <w:rPr>
          <w:lang w:val="de-DE"/>
        </w:rPr>
      </w:pPr>
    </w:p>
    <w:p w14:paraId="1C2063A8" w14:textId="77777777" w:rsidR="00131362" w:rsidRPr="000531AE" w:rsidRDefault="00131362" w:rsidP="00F549B6">
      <w:pPr>
        <w:rPr>
          <w:lang w:val="de-DE"/>
        </w:rPr>
      </w:pPr>
    </w:p>
    <w:p w14:paraId="219BE692" w14:textId="77777777" w:rsidR="00131362" w:rsidRPr="000531AE" w:rsidRDefault="00131362" w:rsidP="00F549B6">
      <w:pPr>
        <w:rPr>
          <w:lang w:val="de-DE"/>
        </w:rPr>
      </w:pPr>
    </w:p>
    <w:p w14:paraId="74E92DE7" w14:textId="77777777" w:rsidR="00131362" w:rsidRPr="000531AE" w:rsidRDefault="00131362" w:rsidP="00F549B6">
      <w:pPr>
        <w:rPr>
          <w:lang w:val="de-DE"/>
        </w:rPr>
      </w:pPr>
    </w:p>
    <w:p w14:paraId="3092DFF8" w14:textId="77777777" w:rsidR="00131362" w:rsidRPr="000531AE" w:rsidRDefault="00131362" w:rsidP="00F549B6">
      <w:pPr>
        <w:rPr>
          <w:lang w:val="de-DE"/>
        </w:rPr>
      </w:pPr>
    </w:p>
    <w:p w14:paraId="0DA6FA0C" w14:textId="77777777" w:rsidR="00131362" w:rsidRPr="000531AE" w:rsidRDefault="00131362" w:rsidP="00F549B6">
      <w:pPr>
        <w:rPr>
          <w:lang w:val="de-DE"/>
        </w:rPr>
      </w:pPr>
    </w:p>
    <w:p w14:paraId="59D366BD" w14:textId="77777777" w:rsidR="00131362" w:rsidRPr="000531AE" w:rsidRDefault="00131362" w:rsidP="00F549B6">
      <w:pPr>
        <w:rPr>
          <w:lang w:val="de-DE"/>
        </w:rPr>
      </w:pPr>
    </w:p>
    <w:p w14:paraId="29E48452" w14:textId="77777777" w:rsidR="00F549B6" w:rsidRPr="000531AE" w:rsidRDefault="00F549B6" w:rsidP="00F549B6">
      <w:pPr>
        <w:rPr>
          <w:lang w:val="de-DE"/>
        </w:rPr>
      </w:pPr>
    </w:p>
    <w:p w14:paraId="3EB4F922" w14:textId="77777777" w:rsidR="00491F47" w:rsidRPr="000531AE" w:rsidRDefault="00491F47" w:rsidP="00491F47">
      <w:pPr>
        <w:jc w:val="center"/>
        <w:rPr>
          <w:lang w:val="de-DE"/>
        </w:rPr>
      </w:pPr>
    </w:p>
    <w:p w14:paraId="4BF57864" w14:textId="77777777" w:rsidR="00A277A9" w:rsidRPr="004C249F" w:rsidRDefault="00A277A9" w:rsidP="0084347A">
      <w:pPr>
        <w:widowControl w:val="0"/>
        <w:suppressAutoHyphens/>
        <w:spacing w:after="0" w:line="360" w:lineRule="auto"/>
        <w:ind w:right="567"/>
        <w:jc w:val="center"/>
        <w:rPr>
          <w:rFonts w:ascii="Calibri" w:eastAsia="Times New Roman" w:hAnsi="Calibri" w:cs="Calibri"/>
          <w:b/>
          <w:i/>
          <w:sz w:val="24"/>
          <w:szCs w:val="24"/>
          <w:lang w:val="en-GB" w:eastAsia="it-IT"/>
        </w:rPr>
      </w:pPr>
    </w:p>
    <w:p w14:paraId="3FC661CC" w14:textId="77777777" w:rsidR="00491F47" w:rsidRPr="0084347A" w:rsidRDefault="00491F47" w:rsidP="0084347A">
      <w:pPr>
        <w:widowControl w:val="0"/>
        <w:suppressAutoHyphens/>
        <w:spacing w:after="0" w:line="360" w:lineRule="auto"/>
        <w:ind w:right="567"/>
        <w:jc w:val="center"/>
        <w:rPr>
          <w:rFonts w:ascii="Calibri" w:eastAsia="Times New Roman" w:hAnsi="Calibri" w:cs="Calibri"/>
          <w:b/>
          <w:i/>
          <w:sz w:val="24"/>
          <w:szCs w:val="24"/>
          <w:lang w:eastAsia="it-IT"/>
        </w:rPr>
      </w:pPr>
      <w:r w:rsidRPr="0084347A">
        <w:rPr>
          <w:rFonts w:ascii="Calibri" w:eastAsia="Times New Roman" w:hAnsi="Calibri" w:cs="Calibri"/>
          <w:b/>
          <w:i/>
          <w:sz w:val="24"/>
          <w:szCs w:val="24"/>
          <w:lang w:eastAsia="it-IT"/>
        </w:rPr>
        <w:t>MISURE MINIME DI SICUREZZA FISICHE ADOTTATE PER LA FONDAZIONE</w:t>
      </w:r>
    </w:p>
    <w:p w14:paraId="38A29DC9" w14:textId="77777777" w:rsidR="00491F47" w:rsidRDefault="00491F47" w:rsidP="00491F47">
      <w:pPr>
        <w:jc w:val="right"/>
      </w:pPr>
    </w:p>
    <w:p w14:paraId="518BF738" w14:textId="77777777" w:rsidR="00491F47" w:rsidRDefault="00491F47" w:rsidP="00491F47">
      <w:pPr>
        <w:jc w:val="both"/>
      </w:pPr>
      <w:r w:rsidRPr="00491F47">
        <w:t xml:space="preserve">Il Politecnico di Milano adotta un controllo accessi fisico ai propri spazi basati su un sistema di badge, finalizzato a salvaguardia e a tutela del patrimonio, e per impedire un accesso a persone prive di autorizzazione. </w:t>
      </w:r>
    </w:p>
    <w:p w14:paraId="0197F8F6" w14:textId="77777777" w:rsidR="00491F47" w:rsidRDefault="00491F47" w:rsidP="00491F47">
      <w:pPr>
        <w:jc w:val="both"/>
      </w:pPr>
      <w:r w:rsidRPr="00491F47">
        <w:t xml:space="preserve">Ogni badge è collegato a un account Fondazione del Politecnico, che a sua volta è collegato a un individuo. Questo dispositivo consente di identificare tutte le persone presenti nelle strutture. </w:t>
      </w:r>
    </w:p>
    <w:p w14:paraId="3E36B222" w14:textId="77777777" w:rsidR="00491F47" w:rsidRPr="00491F47" w:rsidRDefault="00491F47" w:rsidP="00491F47">
      <w:pPr>
        <w:jc w:val="both"/>
      </w:pPr>
      <w:r w:rsidRPr="00491F47">
        <w:t>Il Responsabile ha adottato le seguenti misure di sicurezza:</w:t>
      </w:r>
    </w:p>
    <w:p w14:paraId="535CA81B" w14:textId="77777777" w:rsidR="00491F47" w:rsidRPr="00491F47" w:rsidRDefault="00491F47" w:rsidP="00491F47">
      <w:pPr>
        <w:pStyle w:val="Paragrafoelenco"/>
        <w:numPr>
          <w:ilvl w:val="0"/>
          <w:numId w:val="3"/>
        </w:numPr>
        <w:jc w:val="both"/>
      </w:pPr>
      <w:r w:rsidRPr="00491F47">
        <w:t>Accesso sicuro agli spazi della fondazione mediante lettori di badge;</w:t>
      </w:r>
    </w:p>
    <w:p w14:paraId="24A9EC60" w14:textId="77777777" w:rsidR="00491F47" w:rsidRPr="00491F47" w:rsidRDefault="00491F47" w:rsidP="00491F47">
      <w:pPr>
        <w:pStyle w:val="Paragrafoelenco"/>
        <w:numPr>
          <w:ilvl w:val="0"/>
          <w:numId w:val="3"/>
        </w:numPr>
        <w:jc w:val="both"/>
      </w:pPr>
      <w:r w:rsidRPr="00491F47">
        <w:t>Accesso limitato a persone autorizzate in possesso di chiavi e/o schede elettroniche di accesso;</w:t>
      </w:r>
    </w:p>
    <w:p w14:paraId="25DDED2D" w14:textId="77777777" w:rsidR="00491F47" w:rsidRPr="00491F47" w:rsidRDefault="00491F47" w:rsidP="00491F47">
      <w:pPr>
        <w:pStyle w:val="Paragrafoelenco"/>
        <w:numPr>
          <w:ilvl w:val="0"/>
          <w:numId w:val="3"/>
        </w:numPr>
        <w:jc w:val="both"/>
      </w:pPr>
      <w:r w:rsidRPr="00491F47">
        <w:t>Accesso solo a persone autori</w:t>
      </w:r>
      <w:r>
        <w:t>zzate e/o invitate dal titolare;</w:t>
      </w:r>
    </w:p>
    <w:p w14:paraId="4DE0AA11" w14:textId="77777777" w:rsidR="00491F47" w:rsidRPr="00491F47" w:rsidRDefault="00491F47" w:rsidP="00491F47">
      <w:pPr>
        <w:pStyle w:val="Paragrafoelenco"/>
        <w:numPr>
          <w:ilvl w:val="0"/>
          <w:numId w:val="3"/>
        </w:numPr>
        <w:jc w:val="both"/>
      </w:pPr>
      <w:r w:rsidRPr="00491F47">
        <w:t>Sistema di allarme di sicurezza o altre misure di sicurezza appropriate a tutela del patrimonio.</w:t>
      </w:r>
    </w:p>
    <w:p w14:paraId="3EE93C65" w14:textId="77777777" w:rsidR="00F549B6" w:rsidRPr="00491F47" w:rsidRDefault="00F549B6" w:rsidP="00F549B6">
      <w:pPr>
        <w:jc w:val="right"/>
      </w:pPr>
    </w:p>
    <w:p w14:paraId="14BECFF4" w14:textId="77777777" w:rsidR="008B15C1" w:rsidRPr="00491F47" w:rsidRDefault="008B15C1"/>
    <w:sectPr w:rsidR="008B15C1" w:rsidRPr="00491F47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40C62" w14:textId="77777777" w:rsidR="003D1154" w:rsidRDefault="003D1154" w:rsidP="008B15C1">
      <w:pPr>
        <w:spacing w:after="0" w:line="240" w:lineRule="auto"/>
      </w:pPr>
      <w:r>
        <w:separator/>
      </w:r>
    </w:p>
  </w:endnote>
  <w:endnote w:type="continuationSeparator" w:id="0">
    <w:p w14:paraId="584E9FC3" w14:textId="77777777" w:rsidR="003D1154" w:rsidRDefault="003D1154" w:rsidP="008B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1632288"/>
      <w:docPartObj>
        <w:docPartGallery w:val="Page Numbers (Bottom of Page)"/>
        <w:docPartUnique/>
      </w:docPartObj>
    </w:sdtPr>
    <w:sdtEndPr/>
    <w:sdtContent>
      <w:p w14:paraId="1D7B3D41" w14:textId="0699089C" w:rsidR="008B15C1" w:rsidRDefault="008B15C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B5B">
          <w:rPr>
            <w:noProof/>
          </w:rPr>
          <w:t>1</w:t>
        </w:r>
        <w:r>
          <w:fldChar w:fldCharType="end"/>
        </w:r>
      </w:p>
    </w:sdtContent>
  </w:sdt>
  <w:p w14:paraId="1BE99DEA" w14:textId="77777777" w:rsidR="008B15C1" w:rsidRDefault="008B15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A846C" w14:textId="77777777" w:rsidR="003D1154" w:rsidRDefault="003D1154" w:rsidP="008B15C1">
      <w:pPr>
        <w:spacing w:after="0" w:line="240" w:lineRule="auto"/>
      </w:pPr>
      <w:r>
        <w:separator/>
      </w:r>
    </w:p>
  </w:footnote>
  <w:footnote w:type="continuationSeparator" w:id="0">
    <w:p w14:paraId="59D90A9C" w14:textId="77777777" w:rsidR="003D1154" w:rsidRDefault="003D1154" w:rsidP="008B1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21C85"/>
    <w:multiLevelType w:val="hybridMultilevel"/>
    <w:tmpl w:val="9C445B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D923AB"/>
    <w:multiLevelType w:val="hybridMultilevel"/>
    <w:tmpl w:val="3FB68614"/>
    <w:lvl w:ilvl="0" w:tplc="4AD2DE9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0306C"/>
    <w:multiLevelType w:val="multilevel"/>
    <w:tmpl w:val="71B8279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Arial" w:eastAsia="Arial Unicode MS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187222F"/>
    <w:multiLevelType w:val="hybridMultilevel"/>
    <w:tmpl w:val="5A4EE7F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C1"/>
    <w:rsid w:val="00005014"/>
    <w:rsid w:val="000531AE"/>
    <w:rsid w:val="00057C4C"/>
    <w:rsid w:val="000D1C82"/>
    <w:rsid w:val="00131362"/>
    <w:rsid w:val="00153582"/>
    <w:rsid w:val="001C7A18"/>
    <w:rsid w:val="00220DFA"/>
    <w:rsid w:val="0026436E"/>
    <w:rsid w:val="00276164"/>
    <w:rsid w:val="002F50B3"/>
    <w:rsid w:val="0031233A"/>
    <w:rsid w:val="00356733"/>
    <w:rsid w:val="0037311D"/>
    <w:rsid w:val="003C09C6"/>
    <w:rsid w:val="003D1154"/>
    <w:rsid w:val="003E459E"/>
    <w:rsid w:val="003F4801"/>
    <w:rsid w:val="0040006F"/>
    <w:rsid w:val="004250F2"/>
    <w:rsid w:val="004275AB"/>
    <w:rsid w:val="00442791"/>
    <w:rsid w:val="00482319"/>
    <w:rsid w:val="00491B29"/>
    <w:rsid w:val="00491F47"/>
    <w:rsid w:val="004C249F"/>
    <w:rsid w:val="004D136C"/>
    <w:rsid w:val="00554E26"/>
    <w:rsid w:val="00574B04"/>
    <w:rsid w:val="005A67CC"/>
    <w:rsid w:val="005C71A6"/>
    <w:rsid w:val="00651A72"/>
    <w:rsid w:val="0066794D"/>
    <w:rsid w:val="00724B4D"/>
    <w:rsid w:val="00840440"/>
    <w:rsid w:val="0084347A"/>
    <w:rsid w:val="00863044"/>
    <w:rsid w:val="008B15C1"/>
    <w:rsid w:val="008B202B"/>
    <w:rsid w:val="00904425"/>
    <w:rsid w:val="00976B6E"/>
    <w:rsid w:val="00A21949"/>
    <w:rsid w:val="00A277A9"/>
    <w:rsid w:val="00A321B6"/>
    <w:rsid w:val="00A3698F"/>
    <w:rsid w:val="00A60A09"/>
    <w:rsid w:val="00A81663"/>
    <w:rsid w:val="00A90984"/>
    <w:rsid w:val="00AF1A51"/>
    <w:rsid w:val="00AF5F57"/>
    <w:rsid w:val="00B23066"/>
    <w:rsid w:val="00B8144E"/>
    <w:rsid w:val="00BE1BAE"/>
    <w:rsid w:val="00C67B5B"/>
    <w:rsid w:val="00CC69DC"/>
    <w:rsid w:val="00CE3F8C"/>
    <w:rsid w:val="00CF27B8"/>
    <w:rsid w:val="00D00678"/>
    <w:rsid w:val="00DF580A"/>
    <w:rsid w:val="00E339FD"/>
    <w:rsid w:val="00E40C53"/>
    <w:rsid w:val="00EA1CF8"/>
    <w:rsid w:val="00EE4EF4"/>
    <w:rsid w:val="00F549B6"/>
    <w:rsid w:val="00FC0328"/>
    <w:rsid w:val="1BC12CC3"/>
    <w:rsid w:val="3D29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444C"/>
  <w15:chartTrackingRefBased/>
  <w15:docId w15:val="{3981D2B9-B629-4ABD-9FC7-4FE406F7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15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15C1"/>
    <w:rPr>
      <w:sz w:val="20"/>
      <w:szCs w:val="20"/>
    </w:rPr>
  </w:style>
  <w:style w:type="character" w:styleId="Rimandocommento">
    <w:name w:val="annotation reference"/>
    <w:rsid w:val="008B15C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1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15C1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B15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5C1"/>
  </w:style>
  <w:style w:type="paragraph" w:styleId="Pidipagina">
    <w:name w:val="footer"/>
    <w:basedOn w:val="Normale"/>
    <w:link w:val="PidipaginaCarattere"/>
    <w:uiPriority w:val="99"/>
    <w:unhideWhenUsed/>
    <w:rsid w:val="008B15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5C1"/>
  </w:style>
  <w:style w:type="table" w:styleId="Grigliatabella">
    <w:name w:val="Table Grid"/>
    <w:basedOn w:val="Tabellanormale"/>
    <w:uiPriority w:val="39"/>
    <w:rsid w:val="008B1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57C4C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E40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40C5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E40C53"/>
    <w:rPr>
      <w:vertAlign w:val="superscript"/>
    </w:rPr>
  </w:style>
  <w:style w:type="character" w:styleId="Enfasicorsivo">
    <w:name w:val="Emphasis"/>
    <w:qFormat/>
    <w:rsid w:val="00E40C53"/>
    <w:rPr>
      <w:i/>
      <w:iCs/>
    </w:rPr>
  </w:style>
  <w:style w:type="paragraph" w:styleId="Corpodeltesto3">
    <w:name w:val="Body Text 3"/>
    <w:basedOn w:val="Normale"/>
    <w:link w:val="Corpodeltesto3Carattere"/>
    <w:rsid w:val="00E40C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E40C53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40C53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E40C53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531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2778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9545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maggi@maggilegal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ormativa.polim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9A3682B90756438C72BAE27C5AFDBC" ma:contentTypeVersion="13" ma:contentTypeDescription="Creare un nuovo documento." ma:contentTypeScope="" ma:versionID="77ac2edcfc658d09ddff328610bc7b41">
  <xsd:schema xmlns:xsd="http://www.w3.org/2001/XMLSchema" xmlns:xs="http://www.w3.org/2001/XMLSchema" xmlns:p="http://schemas.microsoft.com/office/2006/metadata/properties" xmlns:ns3="8558c8cb-a74a-45ea-8713-d424d0d335a6" xmlns:ns4="722b3890-79f8-447c-a104-4a6a7ffe072c" targetNamespace="http://schemas.microsoft.com/office/2006/metadata/properties" ma:root="true" ma:fieldsID="54e1b3e8e3040cf9ca3044d0e347845c" ns3:_="" ns4:_="">
    <xsd:import namespace="8558c8cb-a74a-45ea-8713-d424d0d335a6"/>
    <xsd:import namespace="722b3890-79f8-447c-a104-4a6a7ffe07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8c8cb-a74a-45ea-8713-d424d0d335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b3890-79f8-447c-a104-4a6a7ffe07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54BE7-9DCC-4563-B4AF-35E9CB210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1E4D4-1116-4E84-BC4F-FCCEEDEDE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189FCE-8452-43B6-A280-E4319C0AC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8c8cb-a74a-45ea-8713-d424d0d335a6"/>
    <ds:schemaRef ds:uri="722b3890-79f8-447c-a104-4a6a7ffe0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0FA503-AFC7-4C06-A585-B8116886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del core</dc:creator>
  <cp:keywords/>
  <dc:description/>
  <cp:lastModifiedBy>Laura Elisabetta Rolla</cp:lastModifiedBy>
  <cp:revision>5</cp:revision>
  <dcterms:created xsi:type="dcterms:W3CDTF">2021-02-03T14:07:00Z</dcterms:created>
  <dcterms:modified xsi:type="dcterms:W3CDTF">2021-05-07T05:39:00Z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0x010100F49A3682B90756438C72BAE27C5AFDBC</vt:lpwstr>
  </property>
</Properties>
</file>