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Pr="00EC7A0E" w:rsidRDefault="00A61949">
      <w:pPr>
        <w:pStyle w:val="Titolo"/>
        <w:jc w:val="left"/>
        <w:outlineLvl w:val="0"/>
        <w:rPr>
          <w:sz w:val="24"/>
        </w:rPr>
      </w:pPr>
      <w:proofErr w:type="gramStart"/>
      <w:r w:rsidRPr="00EC7A0E">
        <w:rPr>
          <w:sz w:val="24"/>
        </w:rPr>
        <w:t xml:space="preserve">N  </w:t>
      </w:r>
      <w:r w:rsidR="00EF6D1C" w:rsidRPr="00EC7A0E">
        <w:rPr>
          <w:sz w:val="24"/>
        </w:rPr>
        <w:t>Repertorio</w:t>
      </w:r>
      <w:proofErr w:type="gramEnd"/>
      <w:r w:rsidR="00EF6D1C" w:rsidRPr="00EC7A0E">
        <w:rPr>
          <w:sz w:val="24"/>
        </w:rPr>
        <w:t xml:space="preserve">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01F74885" w:rsidR="00D501FF" w:rsidRDefault="009771E1" w:rsidP="00E37F0E">
      <w:pPr>
        <w:spacing w:line="480" w:lineRule="atLeast"/>
        <w:ind w:right="283"/>
        <w:jc w:val="both"/>
        <w:rPr>
          <w:b/>
          <w:sz w:val="24"/>
        </w:rPr>
      </w:pPr>
      <w:r>
        <w:rPr>
          <w:b/>
          <w:sz w:val="24"/>
        </w:rPr>
        <w:t>DI APPALTO PER L'AFFIDAMENTO DEL SERVIZIO DI RACCOLTA, TRASPORTO, RECUPERO/SMALTIMENTO E VALORIZZAZIONE DEI RIFIUTI PRODOTTI DAL POLITECNICO DI MILANO</w:t>
      </w:r>
      <w:r w:rsidR="00F140D8" w:rsidRPr="00EC7A0E">
        <w:rPr>
          <w:b/>
          <w:sz w:val="24"/>
        </w:rPr>
        <w:t>.</w:t>
      </w:r>
    </w:p>
    <w:p w14:paraId="001A5365" w14:textId="77777777" w:rsidR="009771E1" w:rsidRPr="00EC7A0E" w:rsidRDefault="009771E1" w:rsidP="00E37F0E">
      <w:pPr>
        <w:spacing w:line="480" w:lineRule="atLeast"/>
        <w:ind w:right="283"/>
        <w:jc w:val="both"/>
        <w:rPr>
          <w:b/>
          <w:sz w:val="24"/>
        </w:rPr>
      </w:pPr>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2D9D8291"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7777777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r w:rsidR="00E531A6" w:rsidRPr="00EC7A0E">
        <w:rPr>
          <w:sz w:val="24"/>
        </w:rPr>
        <w:t>Prot. n. 8890 del 26.03.2014</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w:t>
      </w:r>
      <w:proofErr w:type="gramStart"/>
      <w:r w:rsidR="00FE3880" w:rsidRPr="00EC7A0E">
        <w:rPr>
          <w:sz w:val="24"/>
          <w:highlight w:val="yellow"/>
        </w:rPr>
        <w:t>_[</w:t>
      </w:r>
      <w:proofErr w:type="gramEnd"/>
      <w:r w:rsidR="00FE3880" w:rsidRPr="00EC7A0E">
        <w:rPr>
          <w:sz w:val="24"/>
          <w:highlight w:val="yellow"/>
        </w:rPr>
        <w:t>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2FB47D04"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3953B1" w:rsidRPr="00EC7A0E">
        <w:rPr>
          <w:sz w:val="24"/>
          <w:highlight w:val="yellow"/>
        </w:rPr>
        <w:t>______</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2460040B"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C054F3">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642D2CB5"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24AAD">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51F97378" w:rsidR="00C61145"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647B02F0" w14:textId="7D8A6A1F" w:rsidR="008D32E9" w:rsidRDefault="008D32E9" w:rsidP="008D32E9">
      <w:pPr>
        <w:pStyle w:val="Corpotesto"/>
        <w:tabs>
          <w:tab w:val="left" w:pos="7088"/>
        </w:tabs>
        <w:ind w:right="199"/>
      </w:pPr>
      <w:r>
        <w:t xml:space="preserve">- </w:t>
      </w:r>
      <w:r w:rsidRPr="002D7D33">
        <w:t xml:space="preserve">che la Società, ai sensi dell’art. </w:t>
      </w:r>
      <w:r w:rsidRPr="008D32E9">
        <w:rPr>
          <w:highlight w:val="yellow"/>
        </w:rPr>
        <w:t>____</w:t>
      </w:r>
      <w:r>
        <w:t xml:space="preserve"> </w:t>
      </w:r>
      <w:r w:rsidRPr="002D7D33">
        <w:t xml:space="preserve">del </w:t>
      </w:r>
      <w:r>
        <w:t xml:space="preserve">disciplinare di gara </w:t>
      </w:r>
      <w:r w:rsidRPr="002D7D33">
        <w:t xml:space="preserve">ha costituito garanzia fideiussoria di Euro </w:t>
      </w:r>
      <w:r w:rsidRPr="008D32E9">
        <w:rPr>
          <w:highlight w:val="yellow"/>
        </w:rPr>
        <w:t>___________</w:t>
      </w:r>
      <w:r>
        <w:t xml:space="preserve"> </w:t>
      </w:r>
      <w:r w:rsidRPr="002D7D33">
        <w:t xml:space="preserve">a mezzo polizza fideiussoria n.  </w:t>
      </w:r>
      <w:r w:rsidRPr="008D32E9">
        <w:rPr>
          <w:highlight w:val="yellow"/>
        </w:rPr>
        <w:t>__________</w:t>
      </w:r>
      <w:r>
        <w:t xml:space="preserve"> </w:t>
      </w:r>
      <w:r w:rsidRPr="002D7D33">
        <w:t xml:space="preserve">emessa il </w:t>
      </w:r>
      <w:r w:rsidRPr="008D32E9">
        <w:rPr>
          <w:highlight w:val="yellow"/>
        </w:rPr>
        <w:t>_______</w:t>
      </w:r>
      <w:r w:rsidRPr="00CE7A65">
        <w:t xml:space="preserve"> </w:t>
      </w:r>
      <w:r w:rsidRPr="002D7D33">
        <w:t xml:space="preserve">da </w:t>
      </w:r>
      <w:r w:rsidRPr="008D32E9">
        <w:rPr>
          <w:highlight w:val="yellow"/>
        </w:rPr>
        <w:t>____________</w:t>
      </w:r>
      <w:r>
        <w:t>;</w:t>
      </w:r>
    </w:p>
    <w:p w14:paraId="69CFB622" w14:textId="7D295572" w:rsidR="008D32E9" w:rsidRPr="00EC7A0E" w:rsidRDefault="008D32E9" w:rsidP="00304EB3">
      <w:pPr>
        <w:pStyle w:val="Corpotesto"/>
        <w:tabs>
          <w:tab w:val="left" w:pos="7088"/>
        </w:tabs>
        <w:ind w:right="199"/>
      </w:pPr>
      <w:r>
        <w:t xml:space="preserve">- </w:t>
      </w:r>
      <w:r w:rsidRPr="008668DB">
        <w:t xml:space="preserve">che la </w:t>
      </w:r>
      <w:r>
        <w:t xml:space="preserve">Società, ai sensi dell’art. </w:t>
      </w:r>
      <w:r w:rsidRPr="008D32E9">
        <w:rPr>
          <w:highlight w:val="yellow"/>
        </w:rPr>
        <w:t>___</w:t>
      </w:r>
      <w:r w:rsidRPr="008668DB">
        <w:t xml:space="preserve"> del Capitolato d’oneri, ha costituito</w:t>
      </w:r>
      <w:r>
        <w:t xml:space="preserve"> polizza per </w:t>
      </w:r>
      <w:r w:rsidRPr="008668DB">
        <w:t>responsabilità civile verso terzi</w:t>
      </w:r>
      <w:r>
        <w:t xml:space="preserve"> n. </w:t>
      </w:r>
      <w:r w:rsidRPr="008D32E9">
        <w:rPr>
          <w:highlight w:val="yellow"/>
        </w:rPr>
        <w:t>___________</w:t>
      </w:r>
      <w:r>
        <w:t xml:space="preserve"> con massimale per sinistro pari a € </w:t>
      </w:r>
      <w:r w:rsidRPr="008D32E9">
        <w:rPr>
          <w:highlight w:val="yellow"/>
        </w:rPr>
        <w:t>__________</w:t>
      </w:r>
      <w:r>
        <w:t xml:space="preserve"> e polizza CAR n</w:t>
      </w:r>
      <w:r w:rsidRPr="008D32E9">
        <w:rPr>
          <w:highlight w:val="yellow"/>
        </w:rPr>
        <w:t>. __________</w:t>
      </w:r>
      <w:r>
        <w:t xml:space="preserve"> </w:t>
      </w:r>
      <w:r w:rsidRPr="008668DB">
        <w:t xml:space="preserve">con massimale per </w:t>
      </w:r>
      <w:r>
        <w:t xml:space="preserve">opere pari a </w:t>
      </w:r>
      <w:r w:rsidRPr="008D32E9">
        <w:rPr>
          <w:highlight w:val="yellow"/>
        </w:rPr>
        <w:t>€ _________</w:t>
      </w:r>
      <w:r>
        <w:t xml:space="preserve"> e per preesistente paria </w:t>
      </w:r>
      <w:r w:rsidRPr="008D32E9">
        <w:rPr>
          <w:highlight w:val="yellow"/>
        </w:rPr>
        <w:t>€ ________;</w:t>
      </w:r>
    </w:p>
    <w:p w14:paraId="1A2002CC" w14:textId="38F3C504" w:rsidR="004A76D6" w:rsidRPr="00EC7A0E" w:rsidRDefault="004A76D6" w:rsidP="0050538E">
      <w:pPr>
        <w:pStyle w:val="Corpotesto"/>
        <w:tabs>
          <w:tab w:val="left" w:pos="7088"/>
        </w:tabs>
        <w:ind w:right="199"/>
      </w:pPr>
      <w:r w:rsidRPr="00EC7A0E">
        <w:t xml:space="preserve">- che i Tribunali di </w:t>
      </w:r>
      <w:r w:rsidR="00360C5E" w:rsidRPr="00EC7A0E">
        <w:rPr>
          <w:highlight w:val="yellow"/>
        </w:rPr>
        <w:t>______</w:t>
      </w:r>
      <w:r w:rsidR="00F34987" w:rsidRPr="00EC7A0E">
        <w:t xml:space="preserve">e di </w:t>
      </w:r>
      <w:r w:rsidR="00360C5E" w:rsidRPr="00EC7A0E">
        <w:rPr>
          <w:highlight w:val="yellow"/>
        </w:rPr>
        <w:t>______</w:t>
      </w:r>
      <w:r w:rsidRPr="00EC7A0E">
        <w:t xml:space="preserve">hanno comunicato che non sussistono le cause </w:t>
      </w:r>
      <w:proofErr w:type="spellStart"/>
      <w:r w:rsidRPr="00EC7A0E">
        <w:t>interdittive</w:t>
      </w:r>
      <w:proofErr w:type="spellEnd"/>
      <w:r w:rsidRPr="00EC7A0E">
        <w:t xml:space="preserve"> previste degli artt. 6 e 67 del D. Lgs. 6.9.2011, n. 159, relative alla Società;</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EC7A0E">
        <w:rPr>
          <w:highlight w:val="yellow"/>
        </w:rPr>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2B081C18" w14:textId="3D708139" w:rsidR="009771E1"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fornitura</w:t>
      </w:r>
      <w:r w:rsidR="005E1A26" w:rsidRPr="00EC7A0E">
        <w:t xml:space="preserve"> </w:t>
      </w:r>
      <w:r w:rsidR="005E3DB6" w:rsidRPr="00EC7A0E">
        <w:t xml:space="preserve">di </w:t>
      </w:r>
      <w:r w:rsidR="002C418D" w:rsidRPr="00EC7A0E">
        <w:t>“</w:t>
      </w:r>
      <w:r w:rsidR="009771E1">
        <w:rPr>
          <w:b/>
        </w:rPr>
        <w:t>PER L'AFFIDAMENTO DEL SERVIZIO DI RACCOLTA, TRASPORTO, RECUPERO/SMALTIMENTO E VALORIZZAZIONE DEI RIFIUTI PRODOTTI DAL POLITECNICO DI MILANO</w:t>
      </w:r>
      <w:r w:rsidR="002C418D" w:rsidRPr="00EC7A0E">
        <w:t>”</w:t>
      </w:r>
      <w:r w:rsidR="009771E1">
        <w:t>.</w:t>
      </w:r>
    </w:p>
    <w:p w14:paraId="19F0247E" w14:textId="151BA3F7" w:rsidR="005E3DB6" w:rsidRPr="00EC7A0E" w:rsidRDefault="005E3DB6" w:rsidP="00AE4825">
      <w:pPr>
        <w:pStyle w:val="Corpotesto"/>
        <w:tabs>
          <w:tab w:val="left" w:pos="7088"/>
        </w:tabs>
        <w:ind w:right="199"/>
      </w:pP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t>Art. 3 - Obblighi della Società</w:t>
      </w:r>
    </w:p>
    <w:p w14:paraId="6972053F" w14:textId="5524159B" w:rsidR="00B31BAA" w:rsidRPr="00EC7A0E" w:rsidRDefault="00D545AA" w:rsidP="007D1CD5">
      <w:pPr>
        <w:pStyle w:val="Corpotesto"/>
        <w:tabs>
          <w:tab w:val="left" w:pos="7513"/>
        </w:tabs>
        <w:ind w:right="198"/>
        <w:rPr>
          <w:highlight w:val="yellow"/>
        </w:rPr>
      </w:pPr>
      <w:r w:rsidRPr="00EC7A0E">
        <w:rPr>
          <w:szCs w:val="24"/>
        </w:rPr>
        <w:lastRenderedPageBreak/>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7D1CD5" w:rsidRPr="00EC7A0E">
        <w:rPr>
          <w:szCs w:val="24"/>
        </w:rPr>
        <w:t>d</w:t>
      </w:r>
      <w:r w:rsidR="00B31BAA" w:rsidRPr="00EC7A0E">
        <w:rPr>
          <w:szCs w:val="24"/>
        </w:rPr>
        <w:t xml:space="preserve">al </w:t>
      </w:r>
      <w:r w:rsidR="007D1CD5" w:rsidRPr="00EC7A0E">
        <w:rPr>
          <w:highlight w:val="yellow"/>
        </w:rPr>
        <w:t xml:space="preserve">Capitolato </w:t>
      </w:r>
      <w:r w:rsidR="00E2309D">
        <w:rPr>
          <w:highlight w:val="yellow"/>
        </w:rPr>
        <w:t>Speciale</w:t>
      </w:r>
      <w:r w:rsidR="007D1CD5" w:rsidRPr="00EC7A0E">
        <w:rPr>
          <w:highlight w:val="yellow"/>
        </w:rPr>
        <w:t xml:space="preserve"> (</w:t>
      </w:r>
      <w:proofErr w:type="spellStart"/>
      <w:r w:rsidR="007D1CD5" w:rsidRPr="00EC7A0E">
        <w:rPr>
          <w:highlight w:val="yellow"/>
        </w:rPr>
        <w:t>All</w:t>
      </w:r>
      <w:proofErr w:type="spellEnd"/>
      <w:r w:rsidR="007D1CD5" w:rsidRPr="00EC7A0E">
        <w:rPr>
          <w:highlight w:val="yellow"/>
        </w:rPr>
        <w:t>. “1”), dal disciplinare di gara (</w:t>
      </w:r>
      <w:proofErr w:type="spellStart"/>
      <w:r w:rsidR="007D1CD5" w:rsidRPr="00EC7A0E">
        <w:rPr>
          <w:highlight w:val="yellow"/>
        </w:rPr>
        <w:t>All</w:t>
      </w:r>
      <w:proofErr w:type="spellEnd"/>
      <w:r w:rsidR="007D1CD5" w:rsidRPr="00EC7A0E">
        <w:rPr>
          <w:highlight w:val="yellow"/>
        </w:rPr>
        <w:t>. “</w:t>
      </w:r>
      <w:r w:rsidR="00E2309D">
        <w:rPr>
          <w:highlight w:val="yellow"/>
        </w:rPr>
        <w:t>2</w:t>
      </w:r>
      <w:r w:rsidR="00A62655" w:rsidRPr="00EC7A0E">
        <w:rPr>
          <w:highlight w:val="yellow"/>
        </w:rPr>
        <w:t>”)</w:t>
      </w:r>
      <w:r w:rsidR="00A71B4E" w:rsidRPr="00EC7A0E">
        <w:rPr>
          <w:highlight w:val="yellow"/>
        </w:rPr>
        <w:t>,</w:t>
      </w:r>
      <w:r w:rsidR="0024148F" w:rsidRPr="00EC7A0E">
        <w:rPr>
          <w:highlight w:val="yellow"/>
        </w:rPr>
        <w:t xml:space="preserve"> </w:t>
      </w:r>
      <w:r w:rsidR="007D1CD5" w:rsidRPr="00EC7A0E">
        <w:rPr>
          <w:highlight w:val="yellow"/>
        </w:rPr>
        <w:t>da</w:t>
      </w:r>
      <w:r w:rsidR="00D56B27" w:rsidRPr="00EC7A0E">
        <w:rPr>
          <w:highlight w:val="yellow"/>
        </w:rPr>
        <w:t>ll’Offerta tecnica ed economica presentata dal fornitore in sede di gara (</w:t>
      </w:r>
      <w:proofErr w:type="spellStart"/>
      <w:r w:rsidR="00D56B27" w:rsidRPr="00EC7A0E">
        <w:rPr>
          <w:highlight w:val="yellow"/>
        </w:rPr>
        <w:t>All</w:t>
      </w:r>
      <w:proofErr w:type="spellEnd"/>
      <w:r w:rsidR="00D56B27" w:rsidRPr="00EC7A0E">
        <w:rPr>
          <w:highlight w:val="yellow"/>
        </w:rPr>
        <w:t>.</w:t>
      </w:r>
      <w:r w:rsidR="007D1CD5" w:rsidRPr="00EC7A0E">
        <w:rPr>
          <w:highlight w:val="yellow"/>
        </w:rPr>
        <w:t xml:space="preserve"> “</w:t>
      </w:r>
      <w:r w:rsidR="00E2309D">
        <w:rPr>
          <w:highlight w:val="yellow"/>
        </w:rPr>
        <w:t>3</w:t>
      </w:r>
      <w:r w:rsidR="007D1CD5" w:rsidRPr="00EC7A0E">
        <w:rPr>
          <w:highlight w:val="yellow"/>
        </w:rPr>
        <w:t>”</w:t>
      </w:r>
      <w:r w:rsidR="00D56B27" w:rsidRPr="00EC7A0E">
        <w:rPr>
          <w:highlight w:val="yellow"/>
        </w:rPr>
        <w:t>).</w:t>
      </w:r>
    </w:p>
    <w:p w14:paraId="1C3FB2F9" w14:textId="287528D1" w:rsidR="00AC41E7" w:rsidRPr="00EC7A0E" w:rsidRDefault="00AC41E7" w:rsidP="006346F4">
      <w:pPr>
        <w:pStyle w:val="Corpotesto"/>
        <w:tabs>
          <w:tab w:val="left" w:pos="7513"/>
        </w:tabs>
        <w:ind w:right="198"/>
      </w:pPr>
      <w:r w:rsidRPr="00EC7A0E">
        <w:rPr>
          <w:highlight w:val="yellow"/>
        </w:rPr>
        <w:t xml:space="preserve">La percentuale di subappalto, calcolata sulla durata del contratto, </w:t>
      </w:r>
      <w:r w:rsidR="00263DBB" w:rsidRPr="00EC7A0E">
        <w:rPr>
          <w:highlight w:val="yellow"/>
        </w:rPr>
        <w:t>dovrà essere</w:t>
      </w:r>
      <w:r w:rsidR="009771E1">
        <w:rPr>
          <w:highlight w:val="yellow"/>
        </w:rPr>
        <w:t xml:space="preserve"> inferiore al 4</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15AFB12A" w:rsidR="008C06E7" w:rsidRPr="00EC7A0E" w:rsidRDefault="00D545AA" w:rsidP="001945E3">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r w:rsidR="001945E3">
        <w:rPr>
          <w:szCs w:val="24"/>
        </w:rPr>
        <w:t xml:space="preserve"> </w:t>
      </w:r>
      <w:r w:rsidR="001945E3" w:rsidRPr="00AF4F66">
        <w:rPr>
          <w:rFonts w:asciiTheme="minorHAnsi" w:hAnsiTheme="minorHAnsi" w:cstheme="minorHAnsi"/>
          <w:szCs w:val="24"/>
        </w:rPr>
        <w:t xml:space="preserve">La stazione appaltante si riserva la facoltà di rinnovare il contratto, alle medesime condizioni, per una durata pari a </w:t>
      </w:r>
      <w:r w:rsidR="00924AAD">
        <w:rPr>
          <w:rFonts w:asciiTheme="minorHAnsi" w:hAnsiTheme="minorHAnsi" w:cstheme="minorHAnsi"/>
          <w:szCs w:val="24"/>
        </w:rPr>
        <w:t xml:space="preserve">12 </w:t>
      </w:r>
      <w:r w:rsidR="001945E3" w:rsidRPr="00AF4F66">
        <w:rPr>
          <w:rFonts w:asciiTheme="minorHAnsi" w:hAnsiTheme="minorHAnsi" w:cstheme="minorHAnsi"/>
          <w:szCs w:val="24"/>
        </w:rPr>
        <w:t>mesi</w:t>
      </w:r>
      <w:r w:rsidR="001945E3">
        <w:rPr>
          <w:rFonts w:asciiTheme="minorHAnsi" w:hAnsiTheme="minorHAnsi" w:cstheme="minorHAnsi"/>
          <w:szCs w:val="24"/>
        </w:rPr>
        <w:t xml:space="preserve"> come specificato nel </w:t>
      </w:r>
      <w:r w:rsidR="009B679A">
        <w:rPr>
          <w:rFonts w:asciiTheme="minorHAnsi" w:hAnsiTheme="minorHAnsi" w:cstheme="minorHAnsi"/>
          <w:szCs w:val="24"/>
        </w:rPr>
        <w:t>D</w:t>
      </w:r>
      <w:r w:rsidR="009B679A" w:rsidRPr="009B679A">
        <w:rPr>
          <w:rFonts w:asciiTheme="minorHAnsi" w:hAnsiTheme="minorHAnsi" w:cstheme="minorHAnsi"/>
          <w:szCs w:val="24"/>
          <w:highlight w:val="yellow"/>
        </w:rPr>
        <w:t xml:space="preserve">isciplinare </w:t>
      </w:r>
      <w:r w:rsidR="001945E3" w:rsidRPr="009B679A">
        <w:rPr>
          <w:rFonts w:asciiTheme="minorHAnsi" w:hAnsiTheme="minorHAnsi" w:cstheme="minorHAnsi"/>
          <w:szCs w:val="24"/>
          <w:highlight w:val="yellow"/>
        </w:rPr>
        <w:t>di Gara art</w:t>
      </w:r>
      <w:r w:rsidR="009B679A" w:rsidRPr="009B679A">
        <w:rPr>
          <w:rFonts w:asciiTheme="minorHAnsi" w:hAnsiTheme="minorHAnsi" w:cstheme="minorHAnsi"/>
          <w:szCs w:val="24"/>
          <w:highlight w:val="yellow"/>
        </w:rPr>
        <w:t>. 4</w:t>
      </w:r>
      <w:r w:rsidR="001945E3" w:rsidRPr="009B679A">
        <w:rPr>
          <w:rFonts w:asciiTheme="minorHAnsi" w:hAnsiTheme="minorHAnsi" w:cstheme="minorHAnsi"/>
          <w:szCs w:val="24"/>
          <w:highlight w:val="yellow"/>
        </w:rPr>
        <w:t>.</w:t>
      </w:r>
      <w:bookmarkStart w:id="0" w:name="_GoBack"/>
      <w:bookmarkEnd w:id="0"/>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7090E5EB" w:rsidR="006A791A" w:rsidRPr="00EC7A0E" w:rsidRDefault="00B95829">
      <w:pPr>
        <w:spacing w:line="480" w:lineRule="atLeast"/>
        <w:ind w:right="199"/>
        <w:jc w:val="both"/>
        <w:rPr>
          <w:sz w:val="24"/>
        </w:rPr>
      </w:pPr>
      <w:r w:rsidRPr="00EC7A0E">
        <w:rPr>
          <w:sz w:val="24"/>
        </w:rPr>
        <w:t xml:space="preserve">Il corrispettivo contrattuale </w:t>
      </w:r>
      <w:r w:rsidR="00785E98">
        <w:rPr>
          <w:sz w:val="24"/>
        </w:rPr>
        <w:t xml:space="preserve">massimo </w:t>
      </w:r>
      <w:r w:rsidRPr="00EC7A0E">
        <w:rPr>
          <w:sz w:val="24"/>
        </w:rPr>
        <w:t>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annui </w:t>
      </w:r>
      <w:r w:rsidR="009C3FAA" w:rsidRPr="00EC7A0E">
        <w:rPr>
          <w:sz w:val="24"/>
        </w:rPr>
        <w:t xml:space="preserve">per un totale di € </w:t>
      </w:r>
      <w:r w:rsidR="00C869FB" w:rsidRPr="00EC7A0E">
        <w:rPr>
          <w:sz w:val="24"/>
          <w:highlight w:val="yellow"/>
        </w:rPr>
        <w:t>______</w:t>
      </w:r>
      <w:r w:rsidR="00785E98">
        <w:rPr>
          <w:sz w:val="24"/>
        </w:rPr>
        <w:t xml:space="preserve"> </w:t>
      </w:r>
      <w:r w:rsidR="00785E98" w:rsidRPr="00785E98">
        <w:rPr>
          <w:sz w:val="24"/>
        </w:rPr>
        <w:t xml:space="preserve">oltre oneri per la sicurezza da interferenze pari </w:t>
      </w:r>
      <w:r w:rsidR="00785E98" w:rsidRPr="009B679A">
        <w:rPr>
          <w:sz w:val="24"/>
        </w:rPr>
        <w:t xml:space="preserve">ad € </w:t>
      </w:r>
      <w:r w:rsidR="009771E1" w:rsidRPr="009771E1">
        <w:rPr>
          <w:sz w:val="24"/>
          <w:highlight w:val="yellow"/>
        </w:rPr>
        <w:t>_______________</w:t>
      </w:r>
      <w:r w:rsidR="001945E3">
        <w:rPr>
          <w:sz w:val="24"/>
        </w:rPr>
        <w:t xml:space="preserve"> + Iva</w:t>
      </w:r>
      <w:r w:rsidR="009C3FAA" w:rsidRPr="00785E98">
        <w:rPr>
          <w:sz w:val="24"/>
        </w:rPr>
        <w:t>.</w:t>
      </w:r>
    </w:p>
    <w:p w14:paraId="21A3BB1E" w14:textId="00DD4829" w:rsidR="006A791A" w:rsidRPr="00EC7A0E" w:rsidRDefault="006A791A">
      <w:pPr>
        <w:spacing w:line="480" w:lineRule="atLeast"/>
        <w:ind w:right="199"/>
        <w:jc w:val="both"/>
        <w:rPr>
          <w:sz w:val="24"/>
        </w:rPr>
      </w:pPr>
      <w:r w:rsidRPr="00EC7A0E">
        <w:rPr>
          <w:sz w:val="24"/>
        </w:rPr>
        <w:t xml:space="preserve">Il corrispettivo è da intendersi </w:t>
      </w:r>
      <w:r w:rsidR="007D1CD5" w:rsidRPr="00EC7A0E">
        <w:rPr>
          <w:sz w:val="24"/>
        </w:rPr>
        <w:t xml:space="preserve">secondo le modalità descritte dal </w:t>
      </w:r>
      <w:r w:rsidR="007D1CD5" w:rsidRPr="00EC7A0E">
        <w:rPr>
          <w:sz w:val="24"/>
          <w:highlight w:val="yellow"/>
        </w:rPr>
        <w:t>Capitolato</w:t>
      </w:r>
      <w:r w:rsidR="00785E98">
        <w:rPr>
          <w:sz w:val="24"/>
          <w:highlight w:val="yellow"/>
        </w:rPr>
        <w:t xml:space="preserve"> speciale</w:t>
      </w:r>
      <w:r w:rsidR="00E2309D">
        <w:rPr>
          <w:sz w:val="24"/>
          <w:highlight w:val="yellow"/>
        </w:rPr>
        <w:t xml:space="preserve"> (</w:t>
      </w:r>
      <w:proofErr w:type="spellStart"/>
      <w:r w:rsidR="00E2309D">
        <w:rPr>
          <w:sz w:val="24"/>
          <w:highlight w:val="yellow"/>
        </w:rPr>
        <w:t>All</w:t>
      </w:r>
      <w:proofErr w:type="spellEnd"/>
      <w:r w:rsidR="00E2309D">
        <w:rPr>
          <w:sz w:val="24"/>
          <w:highlight w:val="yellow"/>
        </w:rPr>
        <w:t>. “1”)</w:t>
      </w:r>
      <w:r w:rsidR="007D1CD5" w:rsidRPr="00EC7A0E">
        <w:rPr>
          <w:sz w:val="24"/>
          <w:highlight w:val="yellow"/>
        </w:rPr>
        <w:t>,</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5BC43205"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Pr="00785E98">
        <w:rPr>
          <w:sz w:val="24"/>
          <w:highlight w:val="yellow"/>
        </w:rPr>
        <w:t xml:space="preserve">al </w:t>
      </w:r>
      <w:r w:rsidR="007D1CD5" w:rsidRPr="00785E98">
        <w:rPr>
          <w:sz w:val="24"/>
          <w:highlight w:val="yellow"/>
        </w:rPr>
        <w:t xml:space="preserve">Capitolato </w:t>
      </w:r>
      <w:r w:rsidR="00E2309D" w:rsidRPr="00785E98">
        <w:rPr>
          <w:sz w:val="24"/>
          <w:highlight w:val="yellow"/>
        </w:rPr>
        <w:t>Speciale</w:t>
      </w:r>
      <w:r w:rsidR="007D1CD5" w:rsidRPr="00785E98">
        <w:rPr>
          <w:sz w:val="24"/>
          <w:highlight w:val="yellow"/>
        </w:rPr>
        <w:t xml:space="preserve"> (</w:t>
      </w:r>
      <w:proofErr w:type="spellStart"/>
      <w:r w:rsidR="007D1CD5" w:rsidRPr="00785E98">
        <w:rPr>
          <w:sz w:val="24"/>
          <w:highlight w:val="yellow"/>
        </w:rPr>
        <w:t>All</w:t>
      </w:r>
      <w:proofErr w:type="spellEnd"/>
      <w:r w:rsidR="007D1CD5" w:rsidRPr="00785E98">
        <w:rPr>
          <w:sz w:val="24"/>
          <w:highlight w:val="yellow"/>
        </w:rPr>
        <w:t>. “1”)</w:t>
      </w:r>
      <w:r w:rsidR="00785E98" w:rsidRPr="00785E98">
        <w:rPr>
          <w:sz w:val="24"/>
          <w:highlight w:val="yellow"/>
        </w:rPr>
        <w:t xml:space="preserve"> al disciplinare di gara (</w:t>
      </w:r>
      <w:proofErr w:type="spellStart"/>
      <w:r w:rsidR="00785E98" w:rsidRPr="00785E98">
        <w:rPr>
          <w:sz w:val="24"/>
          <w:highlight w:val="yellow"/>
        </w:rPr>
        <w:t>All</w:t>
      </w:r>
      <w:proofErr w:type="spellEnd"/>
      <w:r w:rsidR="00785E98" w:rsidRPr="00785E98">
        <w:rPr>
          <w:sz w:val="24"/>
          <w:highlight w:val="yellow"/>
        </w:rPr>
        <w:t>. “2”), all’Offerta tecnica ed economica presentata dal fornitore in sede di gara (</w:t>
      </w:r>
      <w:proofErr w:type="spellStart"/>
      <w:r w:rsidR="00785E98" w:rsidRPr="00785E98">
        <w:rPr>
          <w:sz w:val="24"/>
          <w:highlight w:val="yellow"/>
        </w:rPr>
        <w:t>All</w:t>
      </w:r>
      <w:proofErr w:type="spellEnd"/>
      <w:r w:rsidR="00785E98" w:rsidRPr="00785E98">
        <w:rPr>
          <w:sz w:val="24"/>
          <w:highlight w:val="yellow"/>
        </w:rPr>
        <w:t>. “3”)</w:t>
      </w:r>
      <w:r w:rsidR="003867CE" w:rsidRPr="00785E98">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77777777"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consentire le verifiche di cui al comma 9 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lastRenderedPageBreak/>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35C9354E" w:rsidR="001D3DE2" w:rsidRPr="00EC7A0E" w:rsidRDefault="00C7162E" w:rsidP="00813E97">
      <w:pPr>
        <w:pStyle w:val="Corpotesto"/>
        <w:ind w:right="199"/>
      </w:pPr>
      <w:r w:rsidRPr="00EC7A0E">
        <w:rPr>
          <w:highlight w:val="yellow"/>
        </w:rPr>
        <w:t xml:space="preserve">Si rinvia </w:t>
      </w:r>
      <w:r w:rsidR="00672D6D" w:rsidRPr="00EC7A0E">
        <w:rPr>
          <w:highlight w:val="yellow"/>
        </w:rPr>
        <w:t xml:space="preserve">al Capitolato </w:t>
      </w:r>
      <w:r w:rsidR="00E2309D">
        <w:rPr>
          <w:highlight w:val="yellow"/>
        </w:rPr>
        <w:t>Speciale</w:t>
      </w:r>
      <w:r w:rsidR="00672D6D" w:rsidRPr="00EC7A0E">
        <w:rPr>
          <w:highlight w:val="yellow"/>
        </w:rPr>
        <w:t xml:space="preserve"> (</w:t>
      </w:r>
      <w:proofErr w:type="spellStart"/>
      <w:r w:rsidR="00672D6D" w:rsidRPr="00EC7A0E">
        <w:rPr>
          <w:highlight w:val="yellow"/>
        </w:rPr>
        <w:t>All</w:t>
      </w:r>
      <w:proofErr w:type="spellEnd"/>
      <w:r w:rsidR="00672D6D" w:rsidRPr="00EC7A0E">
        <w:rPr>
          <w:highlight w:val="yellow"/>
        </w:rPr>
        <w:t>. “1”)</w:t>
      </w:r>
      <w:r w:rsidR="00A47BF3" w:rsidRPr="00EC7A0E">
        <w:rPr>
          <w:highlight w:val="yellow"/>
        </w:rPr>
        <w:t>.</w:t>
      </w:r>
      <w:r w:rsidR="001D3DE2" w:rsidRPr="00EC7A0E">
        <w:t xml:space="preserve"> </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5CBB6178" w14:textId="77777777" w:rsidR="00672D6D" w:rsidRPr="00EC7A0E"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p>
    <w:p w14:paraId="1B973055" w14:textId="77777777" w:rsidR="00672D6D" w:rsidRPr="00EC7A0E" w:rsidRDefault="00672D6D" w:rsidP="00672D6D">
      <w:pPr>
        <w:pStyle w:val="Corpotesto"/>
        <w:ind w:right="199"/>
        <w:rPr>
          <w:bCs/>
          <w:iCs/>
        </w:rPr>
      </w:pPr>
      <w:r w:rsidRPr="00EC7A0E">
        <w:rPr>
          <w:bCs/>
          <w:iCs/>
        </w:rPr>
        <w:t>http://www.polimi.it/menu-di-servizio/policy/amministrazione-trasparente/altri-contenuti/</w:t>
      </w:r>
    </w:p>
    <w:p w14:paraId="1225EA66" w14:textId="77777777" w:rsidR="00672D6D" w:rsidRPr="00EC7A0E" w:rsidRDefault="00672D6D" w:rsidP="00672D6D">
      <w:pPr>
        <w:pStyle w:val="Corpotesto"/>
        <w:ind w:right="199"/>
        <w:rPr>
          <w:bCs/>
          <w:iCs/>
        </w:rPr>
      </w:pPr>
      <w:r w:rsidRPr="00EC7A0E">
        <w:rPr>
          <w:bCs/>
          <w:iCs/>
        </w:rPr>
        <w:t>Il Fornitore ha l’obbligo di rispettare e di divulgare all’interno della propria organizzazione Codice di comportamento dei dipendenti pubblici del Politecnico di Milano per tutta la durata della procedura di affidamento e del contratto.</w:t>
      </w:r>
    </w:p>
    <w:p w14:paraId="539E0366" w14:textId="77777777" w:rsidR="00672D6D" w:rsidRPr="00EC7A0E" w:rsidRDefault="00672D6D" w:rsidP="00672D6D">
      <w:pPr>
        <w:pStyle w:val="Corpotesto"/>
        <w:ind w:right="199"/>
        <w:rPr>
          <w:bCs/>
          <w:iCs/>
        </w:rPr>
      </w:pPr>
      <w:r w:rsidRPr="00EC7A0E">
        <w:rPr>
          <w:bCs/>
          <w:iCs/>
        </w:rPr>
        <w:t>Fatti salvi gli eventuali altri effetti, l’inosservanza delle norme e/o la violazione degli obblighi derivanti dal codice di comportamento dei dipendenti pubblici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3124B08D" w:rsidR="00D942C1" w:rsidRPr="00EC7A0E" w:rsidRDefault="00672D6D" w:rsidP="00672D6D">
      <w:pPr>
        <w:pStyle w:val="Corpotesto"/>
        <w:ind w:right="199"/>
      </w:pPr>
      <w:r w:rsidRPr="00EC7A0E">
        <w:rPr>
          <w:bCs/>
          <w:iCs/>
        </w:rPr>
        <w:lastRenderedPageBreak/>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1BDAE82D"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5DF1A686"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8C078E">
        <w:rPr>
          <w:sz w:val="24"/>
        </w:rPr>
        <w:t xml:space="preserve">previste </w:t>
      </w:r>
      <w:r w:rsidR="0045447A" w:rsidRPr="00E2309D">
        <w:rPr>
          <w:sz w:val="24"/>
          <w:highlight w:val="yellow"/>
        </w:rPr>
        <w:t xml:space="preserve">dal </w:t>
      </w:r>
      <w:r w:rsidR="00672D6D" w:rsidRPr="00E2309D">
        <w:rPr>
          <w:sz w:val="24"/>
          <w:highlight w:val="yellow"/>
        </w:rPr>
        <w:t xml:space="preserve">Capitolato </w:t>
      </w:r>
      <w:r w:rsidR="00E2309D" w:rsidRPr="00E2309D">
        <w:rPr>
          <w:sz w:val="24"/>
          <w:highlight w:val="yellow"/>
        </w:rPr>
        <w:t>speciale (</w:t>
      </w:r>
      <w:proofErr w:type="spellStart"/>
      <w:r w:rsidR="00E2309D" w:rsidRPr="00E2309D">
        <w:rPr>
          <w:sz w:val="24"/>
          <w:highlight w:val="yellow"/>
        </w:rPr>
        <w:t>All</w:t>
      </w:r>
      <w:proofErr w:type="spellEnd"/>
      <w:r w:rsidR="00E2309D" w:rsidRPr="00E2309D">
        <w:rPr>
          <w:sz w:val="24"/>
          <w:highlight w:val="yellow"/>
        </w:rPr>
        <w:t>. “1”) art. 20</w:t>
      </w:r>
      <w:r w:rsidR="008C078E">
        <w:rPr>
          <w:sz w:val="24"/>
          <w:highlight w:val="yellow"/>
        </w:rPr>
        <w:t xml:space="preserve"> e dai Patti di Integrità</w:t>
      </w:r>
      <w:r w:rsidR="00E2309D" w:rsidRPr="00E2309D">
        <w:rPr>
          <w:sz w:val="24"/>
          <w:highlight w:val="yellow"/>
        </w:rPr>
        <w:t>.</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00927C2A"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proofErr w:type="gramStart"/>
      <w:r w:rsidR="00B879F8" w:rsidRPr="00EC7A0E">
        <w:rPr>
          <w:sz w:val="24"/>
        </w:rPr>
        <w:t>D.Lgs</w:t>
      </w:r>
      <w:proofErr w:type="gramEnd"/>
      <w:r w:rsidR="00B879F8" w:rsidRPr="00EC7A0E">
        <w:rPr>
          <w:sz w:val="24"/>
        </w:rPr>
        <w:t>.</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DE09BF" w:rsidRPr="00DE09BF">
        <w:t xml:space="preserve"> </w:t>
      </w:r>
      <w:r w:rsidR="00DE09BF" w:rsidRPr="00DE09BF">
        <w:rPr>
          <w:sz w:val="24"/>
        </w:rPr>
        <w:t>e dai Patti di integrità allegati</w:t>
      </w:r>
      <w:r w:rsidR="00DE09BF">
        <w:rPr>
          <w:sz w:val="24"/>
        </w:rPr>
        <w:t>.</w:t>
      </w:r>
    </w:p>
    <w:p w14:paraId="4580CED7" w14:textId="4A3EE255" w:rsidR="00976CEE" w:rsidRPr="00EC7A0E" w:rsidRDefault="00976CEE" w:rsidP="00CE2B0D">
      <w:pPr>
        <w:spacing w:line="480" w:lineRule="atLeast"/>
        <w:ind w:right="199"/>
        <w:jc w:val="both"/>
        <w:rPr>
          <w:sz w:val="24"/>
        </w:rPr>
      </w:pPr>
      <w:r w:rsidRPr="008C078E">
        <w:rPr>
          <w:sz w:val="24"/>
          <w:highlight w:val="yellow"/>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8C078E">
        <w:rPr>
          <w:sz w:val="24"/>
          <w:highlight w:val="yellow"/>
        </w:rPr>
        <w:t>siano</w:t>
      </w:r>
      <w:r w:rsidRPr="008C078E">
        <w:rPr>
          <w:sz w:val="24"/>
          <w:highlight w:val="yellow"/>
        </w:rPr>
        <w:t xml:space="preserve"> svolte direttamente dalle risorse umane e strumentali dell'impresa ausiliaria, che il</w:t>
      </w:r>
      <w:r w:rsidR="0096151F" w:rsidRPr="008C078E">
        <w:rPr>
          <w:sz w:val="24"/>
          <w:highlight w:val="yellow"/>
        </w:rPr>
        <w:t xml:space="preserve"> titolare del contratto utilizzi</w:t>
      </w:r>
      <w:r w:rsidRPr="008C078E">
        <w:rPr>
          <w:sz w:val="24"/>
          <w:highlight w:val="yellow"/>
        </w:rPr>
        <w:t xml:space="preserve"> in adempimento degli obblighi derivanti dal contratto di avvalimento, pena la risoluzione del contratto di appalto</w:t>
      </w:r>
      <w:r w:rsidR="0096151F" w:rsidRPr="008C078E">
        <w:rPr>
          <w:sz w:val="24"/>
          <w:highlight w:val="yellow"/>
        </w:rPr>
        <w:t>.</w:t>
      </w:r>
    </w:p>
    <w:p w14:paraId="1FEC0260" w14:textId="77777777" w:rsidR="00D4028F" w:rsidRPr="00EC7A0E" w:rsidRDefault="00D4028F" w:rsidP="00D4028F">
      <w:pPr>
        <w:widowControl w:val="0"/>
        <w:spacing w:line="567" w:lineRule="exact"/>
        <w:jc w:val="both"/>
        <w:outlineLvl w:val="0"/>
        <w:rPr>
          <w:sz w:val="24"/>
          <w:szCs w:val="24"/>
        </w:rPr>
      </w:pPr>
      <w:r w:rsidRPr="008C078E">
        <w:rPr>
          <w:sz w:val="24"/>
          <w:szCs w:val="24"/>
          <w:highlight w:val="yellow"/>
        </w:rPr>
        <w:t xml:space="preserve">Ai sensi dell’Art.92 c.3 e 4 del </w:t>
      </w:r>
      <w:proofErr w:type="gramStart"/>
      <w:r w:rsidRPr="008C078E">
        <w:rPr>
          <w:sz w:val="24"/>
          <w:szCs w:val="24"/>
          <w:highlight w:val="yellow"/>
        </w:rPr>
        <w:t>D.Lgs</w:t>
      </w:r>
      <w:proofErr w:type="gramEnd"/>
      <w:r w:rsidRPr="008C078E">
        <w:rPr>
          <w:sz w:val="24"/>
          <w:szCs w:val="24"/>
          <w:highlight w:val="yellow"/>
        </w:rPr>
        <w:t>.159/2011 il presente contratto è stipulato sotto condizione risolutiva, ai sensi dell’art. 1456 del Codice Civile, in caso di esito negativo dell’informativa antimafia richiesta, fatto salvo il pagam</w:t>
      </w:r>
      <w:r w:rsidR="00B879F8" w:rsidRPr="008C078E">
        <w:rPr>
          <w:sz w:val="24"/>
          <w:szCs w:val="24"/>
          <w:highlight w:val="yellow"/>
        </w:rPr>
        <w:t>ento del valore delle opere già</w:t>
      </w:r>
      <w:r w:rsidRPr="008C078E">
        <w:rPr>
          <w:sz w:val="24"/>
          <w:szCs w:val="24"/>
          <w:highlight w:val="yellow"/>
        </w:rPr>
        <w:t xml:space="preserve"> eseguite e il rimborso delle spese sostenute per l'esecuzione del rima</w:t>
      </w:r>
      <w:r w:rsidR="00B879F8" w:rsidRPr="008C078E">
        <w:rPr>
          <w:sz w:val="24"/>
          <w:szCs w:val="24"/>
          <w:highlight w:val="yellow"/>
        </w:rPr>
        <w:t>nente, nei limiti delle utilità</w:t>
      </w:r>
      <w:r w:rsidRPr="008C078E">
        <w:rPr>
          <w:sz w:val="24"/>
          <w:szCs w:val="24"/>
          <w:highlight w:val="yellow"/>
        </w:rPr>
        <w:t xml:space="preserve"> conseguite.</w:t>
      </w:r>
    </w:p>
    <w:p w14:paraId="7A4FD260" w14:textId="18A6D883" w:rsidR="00CF1769" w:rsidRPr="00DE09BF"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E2309D">
        <w:rPr>
          <w:sz w:val="24"/>
          <w:highlight w:val="yellow"/>
        </w:rPr>
        <w:t>Speciale</w:t>
      </w:r>
      <w:r w:rsidR="00672D6D" w:rsidRPr="00EC7A0E">
        <w:rPr>
          <w:sz w:val="24"/>
          <w:highlight w:val="yellow"/>
        </w:rPr>
        <w:t>” (</w:t>
      </w:r>
      <w:proofErr w:type="spellStart"/>
      <w:r w:rsidR="00672D6D" w:rsidRPr="00EC7A0E">
        <w:rPr>
          <w:sz w:val="24"/>
          <w:highlight w:val="yellow"/>
        </w:rPr>
        <w:t>All</w:t>
      </w:r>
      <w:proofErr w:type="spellEnd"/>
      <w:r w:rsidR="00672D6D" w:rsidRPr="00EC7A0E">
        <w:rPr>
          <w:sz w:val="24"/>
          <w:highlight w:val="yellow"/>
        </w:rPr>
        <w:t xml:space="preserve">. “1”) art. </w:t>
      </w:r>
      <w:r w:rsidR="00E2309D">
        <w:rPr>
          <w:sz w:val="24"/>
          <w:highlight w:val="yellow"/>
        </w:rPr>
        <w:t>2</w:t>
      </w:r>
      <w:r w:rsidR="003D02CD" w:rsidRPr="00EC7A0E">
        <w:rPr>
          <w:sz w:val="24"/>
          <w:highlight w:val="yellow"/>
        </w:rPr>
        <w:t>5.</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w:t>
      </w:r>
      <w:r w:rsidRPr="00EC7A0E">
        <w:rPr>
          <w:sz w:val="24"/>
          <w:szCs w:val="24"/>
        </w:rPr>
        <w:lastRenderedPageBreak/>
        <w:t xml:space="preserve">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02EA7F63" w14:textId="6A05F4D5" w:rsidR="001741B2" w:rsidRPr="00EC7A0E" w:rsidRDefault="00CD24DE" w:rsidP="00E2309D">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1741B2" w:rsidRPr="00EC7A0E">
        <w:rPr>
          <w:sz w:val="24"/>
          <w:highlight w:val="yellow"/>
        </w:rPr>
        <w:t xml:space="preserve">Capitolato </w:t>
      </w:r>
      <w:r w:rsidR="00E2309D">
        <w:rPr>
          <w:sz w:val="24"/>
          <w:highlight w:val="yellow"/>
        </w:rPr>
        <w:t>Speciale</w:t>
      </w:r>
    </w:p>
    <w:p w14:paraId="2C477829" w14:textId="269B3BFD" w:rsidR="00CD24DE" w:rsidRPr="00EC7A0E" w:rsidRDefault="001741B2" w:rsidP="004571A2">
      <w:pPr>
        <w:numPr>
          <w:ilvl w:val="0"/>
          <w:numId w:val="3"/>
        </w:numPr>
        <w:spacing w:line="480" w:lineRule="atLeast"/>
        <w:ind w:right="34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2</w:t>
      </w:r>
      <w:r w:rsidRPr="00EC7A0E">
        <w:rPr>
          <w:sz w:val="24"/>
          <w:highlight w:val="yellow"/>
        </w:rPr>
        <w:t xml:space="preserve"> Disciplinare di gara</w:t>
      </w:r>
    </w:p>
    <w:p w14:paraId="5289BB31" w14:textId="2A1041EF" w:rsidR="005D7AFE" w:rsidRPr="00EC7A0E" w:rsidRDefault="004571A2" w:rsidP="0024148F">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3</w:t>
      </w:r>
      <w:r w:rsidR="005D7AFE" w:rsidRPr="00EC7A0E">
        <w:rPr>
          <w:sz w:val="24"/>
          <w:highlight w:val="yellow"/>
        </w:rPr>
        <w:t xml:space="preserve"> Offerta </w:t>
      </w:r>
      <w:r w:rsidR="0045447A" w:rsidRPr="00EC7A0E">
        <w:rPr>
          <w:sz w:val="24"/>
          <w:highlight w:val="yellow"/>
        </w:rPr>
        <w:t>Tecnic</w:t>
      </w:r>
      <w:r w:rsidR="009B679A">
        <w:rPr>
          <w:sz w:val="24"/>
          <w:highlight w:val="yellow"/>
        </w:rPr>
        <w:t xml:space="preserve">a </w:t>
      </w:r>
      <w:r w:rsidR="0045447A" w:rsidRPr="00EC7A0E">
        <w:rPr>
          <w:sz w:val="24"/>
          <w:highlight w:val="yellow"/>
        </w:rPr>
        <w:t xml:space="preserve">e </w:t>
      </w:r>
      <w:r w:rsidR="00900E8E" w:rsidRPr="00EC7A0E">
        <w:rPr>
          <w:sz w:val="24"/>
          <w:highlight w:val="yellow"/>
        </w:rPr>
        <w:t>E</w:t>
      </w:r>
      <w:r w:rsidR="005D7AFE" w:rsidRPr="00EC7A0E">
        <w:rPr>
          <w:sz w:val="24"/>
          <w:highlight w:val="yellow"/>
        </w:rPr>
        <w:t>conomica</w:t>
      </w:r>
    </w:p>
    <w:p w14:paraId="08DF2DD5" w14:textId="04F000F0" w:rsidR="005C73EF" w:rsidRPr="00EC7A0E" w:rsidRDefault="001741B2" w:rsidP="005C73EF">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4</w:t>
      </w:r>
      <w:r w:rsidR="005C73EF" w:rsidRPr="00EC7A0E">
        <w:rPr>
          <w:sz w:val="24"/>
          <w:highlight w:val="yellow"/>
        </w:rPr>
        <w:t xml:space="preserve"> </w:t>
      </w:r>
      <w:r w:rsidR="00D97885" w:rsidRPr="00EC7A0E">
        <w:rPr>
          <w:sz w:val="24"/>
          <w:highlight w:val="yellow"/>
        </w:rPr>
        <w:t>Patti di Integrità</w:t>
      </w:r>
    </w:p>
    <w:p w14:paraId="5E5349B5" w14:textId="4397D305" w:rsidR="001741B2" w:rsidRPr="00EC7A0E" w:rsidRDefault="001741B2" w:rsidP="001741B2">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5</w:t>
      </w:r>
      <w:r w:rsidR="00976C99" w:rsidRPr="00EC7A0E">
        <w:rPr>
          <w:sz w:val="24"/>
          <w:highlight w:val="yellow"/>
        </w:rPr>
        <w:t xml:space="preserve">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3D570004"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r w:rsidR="008C078E">
        <w:rPr>
          <w:sz w:val="24"/>
          <w:szCs w:val="24"/>
        </w:rPr>
        <w:t>.</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19246147"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 xml:space="preserve">secondo le modalità previste nel Capitolato </w:t>
      </w:r>
      <w:r w:rsidR="00E2309D">
        <w:rPr>
          <w:sz w:val="24"/>
          <w:highlight w:val="yellow"/>
        </w:rPr>
        <w:t>Speciale</w:t>
      </w:r>
      <w:r w:rsidR="001741B2" w:rsidRPr="00EC7A0E">
        <w:rPr>
          <w:sz w:val="24"/>
          <w:highlight w:val="yellow"/>
        </w:rPr>
        <w:t xml:space="preserve"> (</w:t>
      </w:r>
      <w:proofErr w:type="spellStart"/>
      <w:r w:rsidR="001741B2" w:rsidRPr="00EC7A0E">
        <w:rPr>
          <w:sz w:val="24"/>
          <w:highlight w:val="yellow"/>
        </w:rPr>
        <w:t>All</w:t>
      </w:r>
      <w:proofErr w:type="spellEnd"/>
      <w:r w:rsidR="001741B2" w:rsidRPr="00EC7A0E">
        <w:rPr>
          <w:sz w:val="24"/>
          <w:highlight w:val="yellow"/>
        </w:rPr>
        <w:t xml:space="preserve">. “1”) art. </w:t>
      </w:r>
      <w:r w:rsidR="00E2309D">
        <w:rPr>
          <w:sz w:val="24"/>
          <w:highlight w:val="yellow"/>
        </w:rPr>
        <w:t>22</w:t>
      </w:r>
      <w:r w:rsidR="001741B2" w:rsidRPr="00EC7A0E">
        <w:rPr>
          <w:sz w:val="24"/>
          <w:highlight w:val="yellow"/>
        </w:rPr>
        <w:t>.</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7C7DB21" w14:textId="77777777" w:rsidR="003D02CD" w:rsidRPr="00EC7A0E" w:rsidRDefault="003D02CD" w:rsidP="003D02CD">
      <w:pPr>
        <w:spacing w:line="567" w:lineRule="exact"/>
        <w:jc w:val="both"/>
        <w:outlineLvl w:val="0"/>
        <w:rPr>
          <w:bCs/>
          <w:iCs/>
          <w:sz w:val="24"/>
          <w:szCs w:val="24"/>
        </w:rPr>
      </w:pPr>
      <w:r w:rsidRPr="00EC7A0E">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e normativa nazionale di riferimento laddove applicabile.</w:t>
      </w:r>
    </w:p>
    <w:p w14:paraId="592E5189" w14:textId="77777777" w:rsidR="003D02CD" w:rsidRPr="00EC7A0E" w:rsidRDefault="003D02CD" w:rsidP="003D02CD">
      <w:pPr>
        <w:spacing w:line="567" w:lineRule="exact"/>
        <w:jc w:val="both"/>
        <w:outlineLvl w:val="0"/>
        <w:rPr>
          <w:bCs/>
          <w:iCs/>
          <w:sz w:val="24"/>
          <w:szCs w:val="24"/>
        </w:rPr>
      </w:pPr>
      <w:r w:rsidRPr="00EC7A0E">
        <w:rPr>
          <w:bCs/>
          <w:iCs/>
          <w:sz w:val="24"/>
          <w:szCs w:val="24"/>
        </w:rPr>
        <w:t>In caso di servizi che richiedano il trasferimento di dati personali dal Politecnico al Fornitore o la raccolta di dati personali da parte del Fornitore nell’ambito dello svolgimento del servizio, il Fornitore verrà nominato all’avvio del servizio dal Committente con apposito atto negoziale ai sensi dell’art. 28 e seguenti del GDPR “Responsabile del trattamento” in relazione alle attività connesse alla esecuzione del presente appalto come specificato al punto 3 dell’Allegato 1.</w:t>
      </w:r>
    </w:p>
    <w:p w14:paraId="60FAD8B9" w14:textId="57187318" w:rsidR="003D02CD" w:rsidRPr="00EC7A0E" w:rsidRDefault="003D02CD" w:rsidP="003D02CD">
      <w:pPr>
        <w:spacing w:line="567" w:lineRule="exact"/>
        <w:jc w:val="both"/>
        <w:outlineLvl w:val="0"/>
        <w:rPr>
          <w:bCs/>
          <w:iCs/>
          <w:sz w:val="24"/>
          <w:szCs w:val="24"/>
        </w:rPr>
      </w:pPr>
      <w:r w:rsidRPr="00EC7A0E">
        <w:rPr>
          <w:bCs/>
          <w:iCs/>
          <w:sz w:val="24"/>
          <w:szCs w:val="24"/>
        </w:rPr>
        <w:t>I dati raccolti saranno trattati, ai sensi del Regolamento UE n. 679/2016, esclusivamente nell’ambito della gara, per l’a</w:t>
      </w:r>
      <w:r w:rsidR="002552F7">
        <w:rPr>
          <w:bCs/>
          <w:iCs/>
          <w:sz w:val="24"/>
          <w:szCs w:val="24"/>
        </w:rPr>
        <w:t>ggiudicazione e la stipula del presente</w:t>
      </w:r>
      <w:r w:rsidRPr="00EC7A0E">
        <w:rPr>
          <w:bCs/>
          <w:iCs/>
          <w:sz w:val="24"/>
          <w:szCs w:val="24"/>
        </w:rPr>
        <w:t xml:space="preserve"> contratto di appalto a cui il presente documento si riferisce. Ai sensi del Regolamento UE i dati raccolti sono destinati alla scelta del contraente ed il loro conferimento ha natura </w:t>
      </w:r>
      <w:r w:rsidRPr="00EC7A0E">
        <w:rPr>
          <w:bCs/>
          <w:iCs/>
          <w:sz w:val="24"/>
          <w:szCs w:val="24"/>
        </w:rPr>
        <w:lastRenderedPageBreak/>
        <w:t xml:space="preserve">obbligatoria, fermo restando che l’operatore economico che intende partecipare alla gara o aggiudicarsi l’appalto e successivamente stipulare il contratto deve fornire alla stazione appaltante la documentazione richiesta dalla vigente normativa e </w:t>
      </w:r>
      <w:r w:rsidR="002552F7">
        <w:rPr>
          <w:bCs/>
          <w:iCs/>
          <w:sz w:val="24"/>
          <w:szCs w:val="24"/>
        </w:rPr>
        <w:t>dalla documentazione di gara</w:t>
      </w:r>
      <w:r w:rsidRPr="00EC7A0E">
        <w:rPr>
          <w:bCs/>
          <w:iCs/>
          <w:sz w:val="24"/>
          <w:szCs w:val="24"/>
        </w:rPr>
        <w:t>. La mancata produzione dei predetti documenti comporta l’esclusione dalla gara o la decadenza dall’aggiudicazione.</w:t>
      </w:r>
    </w:p>
    <w:p w14:paraId="125916E3" w14:textId="77777777" w:rsidR="003D02CD" w:rsidRPr="00EC7A0E" w:rsidRDefault="003D02CD" w:rsidP="003D02CD">
      <w:pPr>
        <w:spacing w:line="567" w:lineRule="exact"/>
        <w:jc w:val="both"/>
        <w:outlineLvl w:val="0"/>
        <w:rPr>
          <w:bCs/>
          <w:iCs/>
          <w:sz w:val="24"/>
          <w:szCs w:val="24"/>
        </w:rPr>
      </w:pPr>
      <w:r w:rsidRPr="00EC7A0E">
        <w:rPr>
          <w:bCs/>
          <w:iCs/>
          <w:sz w:val="24"/>
          <w:szCs w:val="24"/>
        </w:rPr>
        <w:t xml:space="preserve">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w:t>
      </w:r>
      <w:hyperlink r:id="rId8" w:history="1">
        <w:r w:rsidRPr="00EC7A0E">
          <w:rPr>
            <w:bCs/>
            <w:iCs/>
          </w:rPr>
          <w:t>privacy@polimi.it</w:t>
        </w:r>
      </w:hyperlink>
      <w:r w:rsidRPr="00EC7A0E">
        <w:rPr>
          <w:bCs/>
          <w:iCs/>
          <w:sz w:val="24"/>
          <w:szCs w:val="24"/>
        </w:rPr>
        <w:t>.</w:t>
      </w:r>
    </w:p>
    <w:p w14:paraId="7ECFC898" w14:textId="77777777" w:rsidR="003D02CD" w:rsidRPr="00EC7A0E" w:rsidRDefault="003D02CD" w:rsidP="003D02CD">
      <w:pPr>
        <w:spacing w:line="567" w:lineRule="exact"/>
        <w:jc w:val="both"/>
        <w:outlineLvl w:val="0"/>
        <w:rPr>
          <w:bCs/>
          <w:iCs/>
          <w:sz w:val="24"/>
          <w:szCs w:val="24"/>
        </w:rPr>
      </w:pPr>
      <w:r w:rsidRPr="00EC7A0E">
        <w:rPr>
          <w:bCs/>
          <w:iCs/>
          <w:sz w:val="24"/>
          <w:szCs w:val="24"/>
        </w:rPr>
        <w:t>I dati raccolti possono essere comunicati al personale della stazione appaltante che cura il procedimento di gara ed esibiti ad ogni altro soggetto che vi abbia interesse nel caso di richiesta di accesso ai sensi della L. 241/1990. Titolare del trattamento dei dati è il Politecnico di Milano – Direzione Generale Piazza Leonardo da vinci, 32 –  Responsabile del trattamento: Dirigente dell’Area Gestione Infrastrutture e Servizi ing. Graziano Dragoni.</w:t>
      </w:r>
    </w:p>
    <w:p w14:paraId="0FE5FCA4" w14:textId="044F7006" w:rsidR="004571A2" w:rsidRPr="00EC7A0E" w:rsidRDefault="003D02CD" w:rsidP="003D02CD">
      <w:pPr>
        <w:spacing w:line="567" w:lineRule="exact"/>
        <w:jc w:val="both"/>
        <w:outlineLvl w:val="0"/>
        <w:rPr>
          <w:bCs/>
          <w:iCs/>
          <w:sz w:val="24"/>
          <w:szCs w:val="24"/>
        </w:rPr>
      </w:pPr>
      <w:r w:rsidRPr="00EC7A0E">
        <w:rPr>
          <w:bCs/>
          <w:iCs/>
          <w:sz w:val="24"/>
          <w:szCs w:val="24"/>
        </w:rPr>
        <w:t>Per quanto riguarda la documentazione gestita tramite MEPA o SINTEL il responsabile del trattamento dei dati è il gestore del sistema stesso che cura gli adempimenti in ordina alla operatività dei processi di accesso e utilizzo dei sistemi informatici.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99D81B5"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 conservare il più rigoroso riserbo in ordine a tutta la documentazione fornita dal Politecnico di Milano.</w:t>
      </w:r>
    </w:p>
    <w:p w14:paraId="6A85C103"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altresì a non divulgare a terzi e a non utilizzare per fini estranei all’adempimento dell’accordo stesso procedure, notizie, dati, atti, informazioni o quant’altro relativo al Politecnico di Milano e al suo know-how.</w:t>
      </w:r>
    </w:p>
    <w:p w14:paraId="284A7C23"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24BE87C3" w14:textId="4C8921B5" w:rsidR="004571A2" w:rsidRPr="00EC7A0E" w:rsidRDefault="002552F7" w:rsidP="002552F7">
      <w:pPr>
        <w:spacing w:line="567" w:lineRule="exact"/>
        <w:jc w:val="both"/>
        <w:outlineLvl w:val="0"/>
        <w:rPr>
          <w:bCs/>
          <w:iCs/>
          <w:sz w:val="24"/>
          <w:szCs w:val="24"/>
        </w:rPr>
      </w:pPr>
      <w:r w:rsidRPr="002552F7">
        <w:rPr>
          <w:bCs/>
          <w:iCs/>
          <w:sz w:val="24"/>
          <w:szCs w:val="24"/>
        </w:rPr>
        <w:t>Eventuali violazioni commesse dal Fornitore sulle disposizioni di cui al presente paragrafo saranno sanzionate ai sensi della normativa vigente in materia.</w:t>
      </w:r>
    </w:p>
    <w:p w14:paraId="4A84D04E" w14:textId="23182FF2" w:rsidR="004571A2" w:rsidRPr="00EC7A0E" w:rsidRDefault="004571A2" w:rsidP="004571A2">
      <w:pPr>
        <w:spacing w:line="480" w:lineRule="atLeast"/>
        <w:ind w:right="199"/>
        <w:jc w:val="both"/>
        <w:outlineLvl w:val="0"/>
        <w:rPr>
          <w:b/>
          <w:sz w:val="24"/>
        </w:rPr>
      </w:pPr>
      <w:r w:rsidRPr="00EC7A0E">
        <w:rPr>
          <w:b/>
          <w:sz w:val="24"/>
          <w:u w:val="single"/>
        </w:rPr>
        <w:t>Art. 19 - Utilizzo del nome e del logo del Politecnico di Milano</w:t>
      </w:r>
    </w:p>
    <w:p w14:paraId="65BD195A" w14:textId="109932C3" w:rsidR="004571A2" w:rsidRPr="00EC7A0E" w:rsidRDefault="003D02CD" w:rsidP="004571A2">
      <w:pPr>
        <w:spacing w:line="567" w:lineRule="exact"/>
        <w:jc w:val="both"/>
        <w:outlineLvl w:val="0"/>
        <w:rPr>
          <w:bCs/>
          <w:iCs/>
          <w:sz w:val="24"/>
          <w:szCs w:val="24"/>
        </w:rPr>
      </w:pPr>
      <w:r w:rsidRPr="00EC7A0E">
        <w:rPr>
          <w:bCs/>
          <w:iCs/>
          <w:sz w:val="24"/>
          <w:szCs w:val="24"/>
        </w:rPr>
        <w:lastRenderedPageBreak/>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EC7A0E">
          <w:rPr>
            <w:szCs w:val="24"/>
          </w:rPr>
          <w:t>comunicazione@polimi.it</w:t>
        </w:r>
      </w:hyperlink>
      <w:r w:rsidRPr="00EC7A0E">
        <w:rPr>
          <w:bCs/>
          <w:iCs/>
          <w:sz w:val="24"/>
          <w:szCs w:val="24"/>
        </w:rPr>
        <w:t>.</w:t>
      </w:r>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7258F8EF" w14:textId="77777777" w:rsidR="002552F7" w:rsidRDefault="002552F7" w:rsidP="002552F7">
      <w:pPr>
        <w:spacing w:line="480" w:lineRule="atLeast"/>
        <w:ind w:right="199"/>
        <w:jc w:val="both"/>
        <w:rPr>
          <w:sz w:val="24"/>
        </w:rPr>
      </w:pPr>
      <w:r w:rsidRPr="00AF6E47">
        <w:rPr>
          <w:b/>
          <w:sz w:val="24"/>
          <w:u w:val="single"/>
        </w:rPr>
        <w:t>Art. 21 – Revisione prezzi</w:t>
      </w:r>
    </w:p>
    <w:p w14:paraId="672675ED" w14:textId="394EDC5B" w:rsidR="00F61EFA" w:rsidRPr="00F61EFA" w:rsidRDefault="00F61EFA" w:rsidP="00F61EFA">
      <w:pPr>
        <w:spacing w:line="480" w:lineRule="atLeast"/>
        <w:ind w:right="199"/>
        <w:jc w:val="both"/>
        <w:rPr>
          <w:sz w:val="24"/>
        </w:rPr>
      </w:pPr>
      <w:r w:rsidRPr="00F61EFA">
        <w:rPr>
          <w:sz w:val="24"/>
        </w:rPr>
        <w:t>Annualmente verrà applicato l’aggiornamento dei prezzi in misura pari al 100% della variazione, accertata dall’ISTAT, dell’indice dei prezzi al consumo per le famiglie di operai ed impiegati (FOI - nella versione che esclude il calcolo dei tabacchi), verificatesi nell’anno precedente, an</w:t>
      </w:r>
      <w:r>
        <w:rPr>
          <w:sz w:val="24"/>
        </w:rPr>
        <w:t>che in caso di indice negativo.</w:t>
      </w:r>
    </w:p>
    <w:p w14:paraId="406A1BBE" w14:textId="4986F27E" w:rsidR="00374400" w:rsidRDefault="00F61EFA" w:rsidP="00F61EFA">
      <w:pPr>
        <w:spacing w:line="480" w:lineRule="atLeast"/>
        <w:ind w:right="199"/>
        <w:jc w:val="both"/>
        <w:rPr>
          <w:bCs/>
          <w:iCs/>
          <w:sz w:val="24"/>
          <w:szCs w:val="24"/>
        </w:rPr>
      </w:pPr>
      <w:r w:rsidRPr="00F61EFA">
        <w:rPr>
          <w:sz w:val="24"/>
        </w:rPr>
        <w:t>All’inizio di ciascun anno, non appena disponibile l’indice ISTAT per l’anno precedente, il Fornitore comunicherà l’aggiornamento dei prezzi dovuti per l’anno in corso applicando il 100% della variazione accertata dall’ISTAT a partire dalla data di presentazione dell’offerta e fino al 31/12 dell’anno precedente. In caso di comunicazione dell’indice successiva all’emissione delle prime fatture per l’anno in corso, dovrà essere fatturata la differenza, positiva o negativa, ottenuta applicando i nuovi prezzi alle fatture già emesse.</w:t>
      </w:r>
    </w:p>
    <w:p w14:paraId="0E24DF69" w14:textId="30DFEA99" w:rsidR="002552F7" w:rsidRPr="00EC7A0E" w:rsidRDefault="008C078E" w:rsidP="008C078E">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37494F4C" w14:textId="612F8FD6" w:rsidR="00796EBB" w:rsidRPr="00EC7A0E"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w:t>
      </w:r>
      <w:proofErr w:type="gramStart"/>
      <w:r w:rsidRPr="00EC7A0E">
        <w:rPr>
          <w:bCs/>
          <w:iCs/>
          <w:sz w:val="24"/>
          <w:szCs w:val="24"/>
        </w:rPr>
        <w:t>D.Lgs</w:t>
      </w:r>
      <w:proofErr w:type="gramEnd"/>
      <w:r w:rsidRPr="00EC7A0E">
        <w:rPr>
          <w:bCs/>
          <w:iCs/>
          <w:sz w:val="24"/>
          <w:szCs w:val="24"/>
        </w:rPr>
        <w:t xml:space="preserve">. </w:t>
      </w:r>
      <w:r w:rsidR="00261238" w:rsidRPr="00EC7A0E">
        <w:rPr>
          <w:bCs/>
          <w:iCs/>
          <w:sz w:val="24"/>
          <w:szCs w:val="24"/>
        </w:rPr>
        <w:t>50/2016</w:t>
      </w:r>
      <w:r w:rsidRPr="00EC7A0E">
        <w:rPr>
          <w:bCs/>
          <w:iCs/>
          <w:sz w:val="24"/>
          <w:szCs w:val="24"/>
        </w:rPr>
        <w:t>, così come novellato dall’art. 6 co. 3 del D.L. 179/2012, convertito con modificazioni in Legge 221/2012.</w:t>
      </w:r>
    </w:p>
    <w:p w14:paraId="7D1820C4" w14:textId="77777777" w:rsidR="00C37892" w:rsidRPr="00EC7A0E" w:rsidRDefault="004571A2" w:rsidP="00796EBB">
      <w:pPr>
        <w:widowControl w:val="0"/>
        <w:spacing w:line="567" w:lineRule="exact"/>
        <w:jc w:val="both"/>
        <w:rPr>
          <w:sz w:val="24"/>
        </w:rPr>
      </w:pPr>
      <w:r w:rsidRPr="00EC7A0E">
        <w:rPr>
          <w:sz w:val="24"/>
        </w:rPr>
        <w:t xml:space="preserve"> </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6CEA8C36" w14:textId="69411AD1" w:rsidR="002552F7" w:rsidRDefault="002552F7" w:rsidP="003126B2">
      <w:pPr>
        <w:spacing w:line="480" w:lineRule="atLeast"/>
        <w:ind w:right="199"/>
        <w:jc w:val="both"/>
        <w:rPr>
          <w:b/>
          <w:sz w:val="24"/>
          <w:szCs w:val="24"/>
        </w:rPr>
      </w:pPr>
      <w:r w:rsidRPr="00EC7A0E">
        <w:rPr>
          <w:b/>
          <w:sz w:val="24"/>
          <w:szCs w:val="24"/>
        </w:rPr>
        <w:t>SOCIETÀ</w:t>
      </w:r>
    </w:p>
    <w:p w14:paraId="3C0AEB72" w14:textId="63130D1A" w:rsidR="003126B2" w:rsidRPr="00EC7A0E" w:rsidRDefault="003126B2" w:rsidP="003126B2">
      <w:pPr>
        <w:spacing w:line="480" w:lineRule="atLeast"/>
        <w:ind w:right="199"/>
        <w:jc w:val="both"/>
        <w:rPr>
          <w:b/>
          <w:sz w:val="24"/>
          <w:szCs w:val="24"/>
        </w:rPr>
      </w:pPr>
      <w:r w:rsidRPr="00EC7A0E">
        <w:rPr>
          <w:b/>
          <w:sz w:val="24"/>
          <w:szCs w:val="24"/>
        </w:rPr>
        <w:t xml:space="preserve"> </w:t>
      </w:r>
      <w:r w:rsidR="00113EB5" w:rsidRPr="00EC7A0E">
        <w:rPr>
          <w:sz w:val="24"/>
          <w:highlight w:val="yellow"/>
        </w:rPr>
        <w:t>____________</w:t>
      </w:r>
      <w:r w:rsidR="00AD2FB3" w:rsidRPr="00EC7A0E">
        <w:rPr>
          <w:sz w:val="24"/>
          <w:highlight w:val="yellow"/>
        </w:rPr>
        <w:t>______________________________________________</w:t>
      </w: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1D0D602A"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924AAD">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75B"/>
    <w:rsid w:val="00016F3E"/>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945E3"/>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3875"/>
    <w:rsid w:val="002552F7"/>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22F5"/>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5E98"/>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078E"/>
    <w:rsid w:val="008D068A"/>
    <w:rsid w:val="008D32E9"/>
    <w:rsid w:val="008D7687"/>
    <w:rsid w:val="008E0005"/>
    <w:rsid w:val="008E1A9B"/>
    <w:rsid w:val="008E4462"/>
    <w:rsid w:val="008F75F3"/>
    <w:rsid w:val="00900E8E"/>
    <w:rsid w:val="00901D10"/>
    <w:rsid w:val="00912A99"/>
    <w:rsid w:val="00912DA8"/>
    <w:rsid w:val="00915867"/>
    <w:rsid w:val="00924AAD"/>
    <w:rsid w:val="009269FC"/>
    <w:rsid w:val="00933A20"/>
    <w:rsid w:val="00933D15"/>
    <w:rsid w:val="00940888"/>
    <w:rsid w:val="009502AD"/>
    <w:rsid w:val="009503B4"/>
    <w:rsid w:val="0095050F"/>
    <w:rsid w:val="0095557F"/>
    <w:rsid w:val="00960275"/>
    <w:rsid w:val="0096151F"/>
    <w:rsid w:val="009650A8"/>
    <w:rsid w:val="00966942"/>
    <w:rsid w:val="00970917"/>
    <w:rsid w:val="00970F7D"/>
    <w:rsid w:val="00976C99"/>
    <w:rsid w:val="00976CEE"/>
    <w:rsid w:val="009771E1"/>
    <w:rsid w:val="00977BA6"/>
    <w:rsid w:val="009800C0"/>
    <w:rsid w:val="00985440"/>
    <w:rsid w:val="0099035A"/>
    <w:rsid w:val="0099201E"/>
    <w:rsid w:val="009924D5"/>
    <w:rsid w:val="00996AE5"/>
    <w:rsid w:val="009A0F57"/>
    <w:rsid w:val="009A3C1E"/>
    <w:rsid w:val="009B0B40"/>
    <w:rsid w:val="009B1112"/>
    <w:rsid w:val="009B38A3"/>
    <w:rsid w:val="009B679A"/>
    <w:rsid w:val="009C09AE"/>
    <w:rsid w:val="009C3A0B"/>
    <w:rsid w:val="009C3FAA"/>
    <w:rsid w:val="009C6399"/>
    <w:rsid w:val="009D3531"/>
    <w:rsid w:val="009D416D"/>
    <w:rsid w:val="009D577A"/>
    <w:rsid w:val="009E5540"/>
    <w:rsid w:val="009E68E9"/>
    <w:rsid w:val="009E6CAB"/>
    <w:rsid w:val="00A204D6"/>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54F3"/>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09BF"/>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2309D"/>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1EFA"/>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1945E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Titolo5Carattere">
    <w:name w:val="Titolo 5 Carattere"/>
    <w:basedOn w:val="Carpredefinitoparagrafo"/>
    <w:link w:val="Titolo5"/>
    <w:rsid w:val="001945E3"/>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polim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93744-B233-433D-ACFE-2A2940639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TotalTime>
  <Pages>8</Pages>
  <Words>2681</Words>
  <Characters>16112</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Davide Lucca</cp:lastModifiedBy>
  <cp:revision>3</cp:revision>
  <cp:lastPrinted>2018-06-14T08:33:00Z</cp:lastPrinted>
  <dcterms:created xsi:type="dcterms:W3CDTF">2019-06-28T11:44:00Z</dcterms:created>
  <dcterms:modified xsi:type="dcterms:W3CDTF">2019-07-31T06:00:00Z</dcterms:modified>
</cp:coreProperties>
</file>