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6B5" w:rsidRDefault="007F26B5" w:rsidP="00A50AF7">
      <w:pPr>
        <w:jc w:val="center"/>
        <w:rPr>
          <w:b/>
          <w:sz w:val="40"/>
        </w:rPr>
      </w:pPr>
    </w:p>
    <w:p w:rsidR="00F852E7" w:rsidRDefault="007F26B5" w:rsidP="00A50AF7">
      <w:pPr>
        <w:jc w:val="center"/>
        <w:rPr>
          <w:b/>
          <w:sz w:val="36"/>
        </w:rPr>
      </w:pPr>
      <w:r w:rsidRPr="007F26B5">
        <w:rPr>
          <w:b/>
          <w:sz w:val="40"/>
        </w:rPr>
        <w:t>Allegato 1</w:t>
      </w:r>
      <w:r w:rsidR="00A50AF7" w:rsidRPr="007F26B5">
        <w:rPr>
          <w:b/>
          <w:sz w:val="40"/>
        </w:rPr>
        <w:t>1</w:t>
      </w:r>
      <w:r w:rsidRPr="007F26B5">
        <w:rPr>
          <w:b/>
          <w:sz w:val="40"/>
        </w:rPr>
        <w:t xml:space="preserve"> - </w:t>
      </w:r>
      <w:r w:rsidR="00A50AF7" w:rsidRPr="007F26B5">
        <w:rPr>
          <w:b/>
          <w:sz w:val="40"/>
        </w:rPr>
        <w:t xml:space="preserve"> Esempio </w:t>
      </w:r>
      <w:r w:rsidR="00051AA0" w:rsidRPr="007F26B5">
        <w:rPr>
          <w:b/>
          <w:sz w:val="36"/>
        </w:rPr>
        <w:t>Progetto Tecnico</w:t>
      </w:r>
    </w:p>
    <w:p w:rsidR="007F26B5" w:rsidRPr="007F26B5" w:rsidRDefault="007F26B5" w:rsidP="00A50AF7">
      <w:pPr>
        <w:jc w:val="center"/>
        <w:rPr>
          <w:b/>
          <w:sz w:val="40"/>
        </w:rPr>
      </w:pPr>
    </w:p>
    <w:p w:rsidR="00051AA0" w:rsidRDefault="00051AA0" w:rsidP="005241D9">
      <w:pPr>
        <w:spacing w:after="0" w:line="360" w:lineRule="auto"/>
        <w:jc w:val="both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5241D9">
      <w:pPr>
        <w:spacing w:after="0" w:line="360" w:lineRule="auto"/>
        <w:jc w:val="both"/>
      </w:pPr>
      <w:r>
        <w:t xml:space="preserve">tel._____________________ fax _____________________________  </w:t>
      </w:r>
    </w:p>
    <w:p w:rsidR="00051AA0" w:rsidRDefault="00051AA0" w:rsidP="005241D9">
      <w:pPr>
        <w:spacing w:after="0" w:line="360" w:lineRule="auto"/>
        <w:jc w:val="both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9A075F" w:rsidRDefault="009A075F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051AA0" w:rsidRDefault="00051AA0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  <w:r w:rsidRPr="005241D9">
        <w:rPr>
          <w:b/>
          <w:color w:val="000000"/>
          <w:sz w:val="24"/>
          <w:u w:val="single"/>
        </w:rPr>
        <w:t>L’operatore economico dovrà compilare</w:t>
      </w:r>
      <w:r w:rsidR="005241D9">
        <w:rPr>
          <w:b/>
          <w:color w:val="000000"/>
          <w:sz w:val="24"/>
          <w:u w:val="single"/>
        </w:rPr>
        <w:t xml:space="preserve"> in modo dettagliato ed esaustivo</w:t>
      </w:r>
      <w:r w:rsidRPr="005241D9">
        <w:rPr>
          <w:b/>
          <w:color w:val="000000"/>
          <w:sz w:val="24"/>
          <w:u w:val="single"/>
        </w:rPr>
        <w:t xml:space="preserve"> il seguente allegato</w:t>
      </w:r>
      <w:r w:rsidR="005241D9" w:rsidRPr="005241D9">
        <w:rPr>
          <w:b/>
          <w:sz w:val="40"/>
          <w:u w:val="single"/>
        </w:rPr>
        <w:t xml:space="preserve"> </w:t>
      </w:r>
      <w:r w:rsidRPr="005241D9">
        <w:rPr>
          <w:b/>
          <w:color w:val="000000"/>
          <w:sz w:val="24"/>
          <w:u w:val="single"/>
        </w:rPr>
        <w:t xml:space="preserve">strutturato in paragrafi secondo lo schema dei criteri di valutazione dell’offerta tecnica </w:t>
      </w:r>
      <w:r w:rsidR="005241D9" w:rsidRPr="005241D9">
        <w:rPr>
          <w:b/>
          <w:color w:val="000000"/>
          <w:sz w:val="24"/>
          <w:u w:val="single"/>
        </w:rPr>
        <w:t>indicati al paragrafo 23 “Valutazione delle offerte e aggiudicazione” del Disciplinare di gara</w:t>
      </w:r>
      <w:r w:rsidRPr="005241D9">
        <w:rPr>
          <w:b/>
          <w:color w:val="000000"/>
          <w:sz w:val="24"/>
          <w:u w:val="single"/>
        </w:rPr>
        <w:t>.</w:t>
      </w:r>
    </w:p>
    <w:p w:rsidR="007F26B5" w:rsidRDefault="007F26B5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</w:p>
    <w:p w:rsidR="005241D9" w:rsidRPr="00063FD3" w:rsidRDefault="005241D9" w:rsidP="00051AA0">
      <w:pPr>
        <w:widowControl w:val="0"/>
        <w:suppressAutoHyphens/>
        <w:spacing w:after="0" w:line="360" w:lineRule="auto"/>
        <w:jc w:val="both"/>
        <w:rPr>
          <w:color w:val="000000"/>
          <w:sz w:val="24"/>
        </w:rPr>
      </w:pPr>
      <w:r w:rsidRPr="00063FD3">
        <w:rPr>
          <w:color w:val="000000"/>
          <w:sz w:val="24"/>
        </w:rPr>
        <w:t xml:space="preserve">La commissione </w:t>
      </w:r>
      <w:r w:rsidR="00063FD3">
        <w:rPr>
          <w:color w:val="000000"/>
          <w:sz w:val="24"/>
        </w:rPr>
        <w:t xml:space="preserve">di gara </w:t>
      </w:r>
      <w:r w:rsidRPr="00063FD3">
        <w:rPr>
          <w:color w:val="000000"/>
          <w:sz w:val="24"/>
        </w:rPr>
        <w:t xml:space="preserve">effettuerà la propria valutazione tecnica con relativa assegnazione dei punteggi sulla base del presente documento e dei restanti criteri tabellari definiti </w:t>
      </w:r>
      <w:r w:rsidR="00063FD3">
        <w:rPr>
          <w:color w:val="000000"/>
          <w:sz w:val="24"/>
        </w:rPr>
        <w:t xml:space="preserve">dall’operatore economico </w:t>
      </w:r>
      <w:r w:rsidRPr="00063FD3">
        <w:rPr>
          <w:color w:val="000000"/>
          <w:sz w:val="24"/>
        </w:rPr>
        <w:t>mediante piattaforma SINTEL – Arca – Regione Lombardia.</w:t>
      </w:r>
    </w:p>
    <w:p w:rsid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000000"/>
          <w:sz w:val="24"/>
          <w:u w:val="single"/>
        </w:rPr>
      </w:pPr>
    </w:p>
    <w:p w:rsid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FF0000"/>
          <w:sz w:val="24"/>
        </w:rPr>
      </w:pPr>
      <w:r w:rsidRPr="005241D9">
        <w:rPr>
          <w:b/>
          <w:color w:val="FF0000"/>
          <w:sz w:val="24"/>
        </w:rPr>
        <w:t>Criteri discrezionali definiti nel documento “Disciplinare di gara”</w:t>
      </w:r>
      <w:r w:rsidR="007F26B5">
        <w:rPr>
          <w:b/>
          <w:color w:val="FF0000"/>
          <w:sz w:val="24"/>
        </w:rPr>
        <w:t xml:space="preserve"> al paragrafo 23.4</w:t>
      </w:r>
    </w:p>
    <w:p w:rsidR="005241D9" w:rsidRPr="005241D9" w:rsidRDefault="005241D9" w:rsidP="00051AA0">
      <w:pPr>
        <w:widowControl w:val="0"/>
        <w:suppressAutoHyphens/>
        <w:spacing w:after="0" w:line="360" w:lineRule="auto"/>
        <w:jc w:val="both"/>
        <w:rPr>
          <w:b/>
          <w:color w:val="FF0000"/>
          <w:sz w:val="24"/>
        </w:rPr>
      </w:pPr>
    </w:p>
    <w:p w:rsidR="007F26B5" w:rsidRPr="007F26B5" w:rsidRDefault="007F26B5" w:rsidP="007F26B5">
      <w:pPr>
        <w:pStyle w:val="Titolo5"/>
        <w:jc w:val="center"/>
        <w:rPr>
          <w:rFonts w:ascii="Times New Roman" w:hAnsi="Times New Roman"/>
          <w:b/>
          <w:i/>
          <w:color w:val="FF0000"/>
          <w:u w:val="single"/>
        </w:rPr>
      </w:pPr>
      <w:r w:rsidRPr="007F26B5">
        <w:rPr>
          <w:rFonts w:ascii="Times New Roman" w:hAnsi="Times New Roman"/>
          <w:b/>
          <w:color w:val="FF0000"/>
          <w:u w:val="single"/>
        </w:rPr>
        <w:t>B -  Modalità organizzative del servizio</w:t>
      </w:r>
    </w:p>
    <w:p w:rsidR="00051AA0" w:rsidRPr="00380EBC" w:rsidRDefault="00051AA0" w:rsidP="00051AA0">
      <w:pPr>
        <w:widowControl w:val="0"/>
        <w:suppressAutoHyphens/>
        <w:spacing w:after="0" w:line="280" w:lineRule="exact"/>
        <w:jc w:val="both"/>
      </w:pPr>
    </w:p>
    <w:p w:rsidR="00051AA0" w:rsidRPr="00051AA0" w:rsidRDefault="007F26B5">
      <w:pPr>
        <w:rPr>
          <w:sz w:val="40"/>
        </w:rPr>
      </w:pPr>
      <w:r w:rsidRPr="007F26B5">
        <w:rPr>
          <w:b/>
          <w:color w:val="FF0000"/>
          <w:sz w:val="24"/>
        </w:rPr>
        <w:t xml:space="preserve">B.1 – Automezzi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 xml:space="preserve">B.2 – Logistica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/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 xml:space="preserve">B.3 – Contabilità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>B.4 – Gestione Amministrativa</w:t>
      </w:r>
      <w:r>
        <w:rPr>
          <w:b/>
          <w:color w:val="FF0000"/>
          <w:sz w:val="24"/>
        </w:rPr>
        <w:t>-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>B.5 – Dettaglio e corrispondenza di servizi analoghi svolti</w:t>
      </w:r>
      <w:r w:rsidR="005241D9" w:rsidRPr="005241D9">
        <w:rPr>
          <w:b/>
          <w:color w:val="FF0000"/>
          <w:sz w:val="24"/>
        </w:rPr>
        <w:t xml:space="preserve">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26B5" w:rsidRDefault="007F26B5" w:rsidP="007F26B5">
      <w:pPr>
        <w:jc w:val="center"/>
        <w:rPr>
          <w:rFonts w:ascii="Times New Roman" w:eastAsiaTheme="majorEastAsia" w:hAnsi="Times New Roman" w:cstheme="majorBidi"/>
          <w:b/>
          <w:color w:val="FF0000"/>
          <w:u w:val="single"/>
        </w:rPr>
      </w:pPr>
    </w:p>
    <w:p w:rsidR="007F26B5" w:rsidRDefault="007F26B5" w:rsidP="007F26B5">
      <w:pPr>
        <w:jc w:val="center"/>
        <w:rPr>
          <w:b/>
          <w:color w:val="FF0000"/>
          <w:sz w:val="24"/>
        </w:rPr>
      </w:pPr>
      <w:r w:rsidRPr="007F26B5">
        <w:rPr>
          <w:rFonts w:ascii="Times New Roman" w:eastAsiaTheme="majorEastAsia" w:hAnsi="Times New Roman" w:cstheme="majorBidi"/>
          <w:b/>
          <w:color w:val="FF0000"/>
          <w:u w:val="single"/>
        </w:rPr>
        <w:t>C – Servizi periodici su richiesta</w:t>
      </w:r>
    </w:p>
    <w:p w:rsidR="007F26B5" w:rsidRDefault="007F26B5" w:rsidP="00051AA0">
      <w:pPr>
        <w:rPr>
          <w:b/>
          <w:color w:val="FF0000"/>
          <w:sz w:val="24"/>
        </w:rPr>
      </w:pPr>
    </w:p>
    <w:p w:rsidR="004A226A" w:rsidRPr="00D94601" w:rsidRDefault="004A226A" w:rsidP="004A226A">
      <w:pPr>
        <w:jc w:val="center"/>
        <w:rPr>
          <w:rFonts w:ascii="Times New Roman" w:hAnsi="Times New Roman"/>
          <w:b/>
          <w:color w:val="FF0000"/>
          <w:szCs w:val="24"/>
          <w:u w:val="single"/>
          <w:lang w:eastAsia="it-IT"/>
        </w:rPr>
      </w:pPr>
      <w:r w:rsidRPr="00D94601">
        <w:rPr>
          <w:rFonts w:ascii="Times New Roman" w:hAnsi="Times New Roman"/>
          <w:b/>
          <w:color w:val="FF0000"/>
          <w:szCs w:val="24"/>
          <w:u w:val="single"/>
          <w:lang w:eastAsia="it-IT"/>
        </w:rPr>
        <w:t>C.1 - Presidi</w:t>
      </w:r>
    </w:p>
    <w:p w:rsidR="00051AA0" w:rsidRPr="00051AA0" w:rsidRDefault="007F26B5" w:rsidP="00051AA0">
      <w:pPr>
        <w:rPr>
          <w:sz w:val="40"/>
        </w:rPr>
      </w:pPr>
      <w:r w:rsidRPr="007F26B5">
        <w:rPr>
          <w:b/>
          <w:color w:val="FF0000"/>
          <w:sz w:val="24"/>
        </w:rPr>
        <w:t xml:space="preserve">C.1 - Garanzia, documentata, di impiego di presidi aventi caratteristiche tecniche e prestazionali di eccellenza per la preparazione e la risposta alle emergenze </w:t>
      </w:r>
      <w:r w:rsidR="00051AA0"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26A" w:rsidRPr="00D94601" w:rsidRDefault="004A226A" w:rsidP="004A226A">
      <w:pPr>
        <w:jc w:val="center"/>
        <w:rPr>
          <w:rFonts w:ascii="Times New Roman" w:hAnsi="Times New Roman"/>
          <w:b/>
          <w:color w:val="FF0000"/>
          <w:szCs w:val="24"/>
          <w:u w:val="single"/>
          <w:lang w:eastAsia="it-IT"/>
        </w:rPr>
      </w:pPr>
      <w:r w:rsidRPr="00D94601">
        <w:rPr>
          <w:rFonts w:ascii="Times New Roman" w:hAnsi="Times New Roman"/>
          <w:b/>
          <w:color w:val="FF0000"/>
          <w:szCs w:val="24"/>
          <w:u w:val="single"/>
          <w:lang w:eastAsia="it-IT"/>
        </w:rPr>
        <w:t>C.</w:t>
      </w:r>
      <w:r>
        <w:rPr>
          <w:rFonts w:ascii="Times New Roman" w:hAnsi="Times New Roman"/>
          <w:b/>
          <w:color w:val="FF0000"/>
          <w:szCs w:val="24"/>
          <w:u w:val="single"/>
          <w:lang w:eastAsia="it-IT"/>
        </w:rPr>
        <w:t>2</w:t>
      </w:r>
      <w:r w:rsidRPr="00D94601">
        <w:rPr>
          <w:rFonts w:ascii="Times New Roman" w:hAnsi="Times New Roman"/>
          <w:b/>
          <w:color w:val="FF0000"/>
          <w:szCs w:val="24"/>
          <w:u w:val="single"/>
          <w:lang w:eastAsia="it-IT"/>
        </w:rPr>
        <w:t xml:space="preserve"> </w:t>
      </w:r>
      <w:r>
        <w:rPr>
          <w:rFonts w:ascii="Times New Roman" w:hAnsi="Times New Roman"/>
          <w:b/>
          <w:color w:val="FF0000"/>
          <w:szCs w:val="24"/>
          <w:u w:val="single"/>
          <w:lang w:eastAsia="it-IT"/>
        </w:rPr>
        <w:t>–</w:t>
      </w:r>
      <w:r w:rsidRPr="00D94601">
        <w:rPr>
          <w:rFonts w:ascii="Times New Roman" w:hAnsi="Times New Roman"/>
          <w:b/>
          <w:color w:val="FF0000"/>
          <w:szCs w:val="24"/>
          <w:u w:val="single"/>
          <w:lang w:eastAsia="it-IT"/>
        </w:rPr>
        <w:t xml:space="preserve"> </w:t>
      </w:r>
      <w:r>
        <w:rPr>
          <w:rFonts w:ascii="Times New Roman" w:hAnsi="Times New Roman"/>
          <w:b/>
          <w:color w:val="FF0000"/>
          <w:szCs w:val="24"/>
          <w:u w:val="single"/>
          <w:lang w:eastAsia="it-IT"/>
        </w:rPr>
        <w:t>Raccolta e trasporto</w:t>
      </w:r>
    </w:p>
    <w:p w:rsidR="00051AA0" w:rsidRDefault="00051AA0">
      <w:pPr>
        <w:rPr>
          <w:b/>
          <w:color w:val="FF0000"/>
          <w:sz w:val="24"/>
        </w:rPr>
      </w:pPr>
    </w:p>
    <w:p w:rsidR="004A226A" w:rsidRDefault="004A226A" w:rsidP="00051AA0">
      <w:pPr>
        <w:rPr>
          <w:b/>
          <w:color w:val="FF0000"/>
          <w:sz w:val="24"/>
        </w:rPr>
      </w:pPr>
      <w:r w:rsidRPr="004A226A">
        <w:rPr>
          <w:b/>
          <w:color w:val="FF0000"/>
          <w:sz w:val="24"/>
        </w:rPr>
        <w:t>C.2.1 - Garanzia di utilizzo di veicoli aventi caratteristiche tecniche e prestazionali, documentate, che garantiscano impatti ridotti sull’ambiente (ad es. maggioranza flott</w:t>
      </w:r>
      <w:r>
        <w:rPr>
          <w:b/>
          <w:color w:val="FF0000"/>
          <w:sz w:val="24"/>
        </w:rPr>
        <w:t xml:space="preserve">a rientrante nelle classi E5 ed </w:t>
      </w:r>
      <w:r w:rsidRPr="004A226A">
        <w:rPr>
          <w:b/>
          <w:color w:val="FF0000"/>
          <w:sz w:val="24"/>
        </w:rPr>
        <w:t>E6)</w:t>
      </w:r>
    </w:p>
    <w:p w:rsidR="00051AA0" w:rsidRPr="00051AA0" w:rsidRDefault="00051AA0" w:rsidP="00051AA0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Default="005241D9" w:rsidP="005241D9">
      <w:pPr>
        <w:rPr>
          <w:b/>
          <w:color w:val="FF0000"/>
          <w:sz w:val="24"/>
        </w:rPr>
      </w:pPr>
    </w:p>
    <w:p w:rsidR="005241D9" w:rsidRPr="00051AA0" w:rsidRDefault="004A226A" w:rsidP="005241D9">
      <w:pPr>
        <w:rPr>
          <w:sz w:val="40"/>
        </w:rPr>
      </w:pPr>
      <w:r w:rsidRPr="004A226A">
        <w:rPr>
          <w:b/>
          <w:color w:val="FF0000"/>
          <w:sz w:val="24"/>
        </w:rPr>
        <w:t>C.2.2 - Determinazione del peso dei rifiuti ritirati al Politecnico</w:t>
      </w:r>
      <w:r>
        <w:rPr>
          <w:b/>
          <w:color w:val="FF0000"/>
          <w:sz w:val="24"/>
        </w:rPr>
        <w:t xml:space="preserve"> di Milano</w:t>
      </w:r>
      <w:r w:rsidRPr="004A226A">
        <w:rPr>
          <w:b/>
          <w:color w:val="FF0000"/>
          <w:sz w:val="24"/>
        </w:rPr>
        <w:t xml:space="preserve"> </w:t>
      </w:r>
      <w:r w:rsidR="005241D9" w:rsidRPr="00051AA0">
        <w:rPr>
          <w:sz w:val="24"/>
        </w:rPr>
        <w:t>________________________________________________________________________________</w:t>
      </w:r>
      <w:r w:rsidR="005241D9" w:rsidRPr="00051AA0">
        <w:rPr>
          <w:sz w:val="24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4A226A" w:rsidRPr="00D94601" w:rsidRDefault="004A226A" w:rsidP="004A226A">
      <w:pPr>
        <w:jc w:val="center"/>
        <w:rPr>
          <w:rFonts w:ascii="Times New Roman" w:hAnsi="Times New Roman"/>
          <w:b/>
          <w:color w:val="FF0000"/>
          <w:szCs w:val="24"/>
          <w:u w:val="single"/>
          <w:lang w:eastAsia="it-IT"/>
        </w:rPr>
      </w:pPr>
      <w:r w:rsidRPr="00D94601">
        <w:rPr>
          <w:rFonts w:ascii="Times New Roman" w:hAnsi="Times New Roman"/>
          <w:b/>
          <w:color w:val="FF0000"/>
          <w:szCs w:val="24"/>
          <w:u w:val="single"/>
          <w:lang w:eastAsia="it-IT"/>
        </w:rPr>
        <w:t>C.</w:t>
      </w:r>
      <w:r>
        <w:rPr>
          <w:rFonts w:ascii="Times New Roman" w:hAnsi="Times New Roman"/>
          <w:b/>
          <w:color w:val="FF0000"/>
          <w:szCs w:val="24"/>
          <w:u w:val="single"/>
          <w:lang w:eastAsia="it-IT"/>
        </w:rPr>
        <w:t>3</w:t>
      </w:r>
      <w:r w:rsidRPr="00D94601">
        <w:rPr>
          <w:rFonts w:ascii="Times New Roman" w:hAnsi="Times New Roman"/>
          <w:b/>
          <w:color w:val="FF0000"/>
          <w:szCs w:val="24"/>
          <w:u w:val="single"/>
          <w:lang w:eastAsia="it-IT"/>
        </w:rPr>
        <w:t xml:space="preserve"> </w:t>
      </w:r>
      <w:r>
        <w:rPr>
          <w:rFonts w:ascii="Times New Roman" w:hAnsi="Times New Roman"/>
          <w:b/>
          <w:color w:val="FF0000"/>
          <w:szCs w:val="24"/>
          <w:u w:val="single"/>
          <w:lang w:eastAsia="it-IT"/>
        </w:rPr>
        <w:t>–</w:t>
      </w:r>
      <w:r w:rsidRPr="00D94601">
        <w:rPr>
          <w:rFonts w:ascii="Times New Roman" w:hAnsi="Times New Roman"/>
          <w:b/>
          <w:color w:val="FF0000"/>
          <w:szCs w:val="24"/>
          <w:u w:val="single"/>
          <w:lang w:eastAsia="it-IT"/>
        </w:rPr>
        <w:t xml:space="preserve"> </w:t>
      </w:r>
      <w:r>
        <w:rPr>
          <w:rFonts w:ascii="Times New Roman" w:hAnsi="Times New Roman"/>
          <w:b/>
          <w:color w:val="FF0000"/>
          <w:szCs w:val="24"/>
          <w:u w:val="single"/>
          <w:lang w:eastAsia="it-IT"/>
        </w:rPr>
        <w:t>Recupero e/o smaltimento</w:t>
      </w:r>
    </w:p>
    <w:p w:rsidR="004A226A" w:rsidRDefault="004A226A" w:rsidP="005241D9">
      <w:pPr>
        <w:rPr>
          <w:b/>
          <w:color w:val="FF0000"/>
          <w:sz w:val="24"/>
        </w:rPr>
      </w:pPr>
    </w:p>
    <w:p w:rsidR="004A226A" w:rsidRDefault="004A226A" w:rsidP="005241D9">
      <w:pPr>
        <w:rPr>
          <w:b/>
          <w:color w:val="FF0000"/>
          <w:sz w:val="24"/>
        </w:rPr>
      </w:pPr>
      <w:r w:rsidRPr="004A226A">
        <w:rPr>
          <w:b/>
          <w:color w:val="FF0000"/>
          <w:sz w:val="24"/>
        </w:rPr>
        <w:t>C.3.1 – Impianti di recupero/smaltimento certificati ISO 14001 e/o registrati EMAS</w:t>
      </w:r>
    </w:p>
    <w:p w:rsidR="005241D9" w:rsidRPr="00051AA0" w:rsidRDefault="005241D9" w:rsidP="005241D9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1AA0" w:rsidRDefault="00051AA0">
      <w:pPr>
        <w:rPr>
          <w:b/>
          <w:color w:val="FF0000"/>
          <w:sz w:val="24"/>
        </w:rPr>
      </w:pPr>
    </w:p>
    <w:p w:rsidR="004A226A" w:rsidRDefault="004A226A" w:rsidP="005241D9">
      <w:pPr>
        <w:rPr>
          <w:b/>
          <w:color w:val="FF0000"/>
          <w:sz w:val="24"/>
        </w:rPr>
      </w:pPr>
      <w:r w:rsidRPr="004A226A">
        <w:rPr>
          <w:b/>
          <w:color w:val="FF0000"/>
          <w:sz w:val="24"/>
        </w:rPr>
        <w:t xml:space="preserve">C.3.2 – Impianti che utilizzano BAT (Best </w:t>
      </w:r>
      <w:proofErr w:type="spellStart"/>
      <w:r w:rsidRPr="004A226A">
        <w:rPr>
          <w:b/>
          <w:color w:val="FF0000"/>
          <w:sz w:val="24"/>
        </w:rPr>
        <w:t>Available</w:t>
      </w:r>
      <w:proofErr w:type="spellEnd"/>
      <w:r w:rsidRPr="004A226A">
        <w:rPr>
          <w:b/>
          <w:color w:val="FF0000"/>
          <w:sz w:val="24"/>
        </w:rPr>
        <w:t xml:space="preserve"> </w:t>
      </w:r>
      <w:proofErr w:type="spellStart"/>
      <w:r w:rsidRPr="004A226A">
        <w:rPr>
          <w:b/>
          <w:color w:val="FF0000"/>
          <w:sz w:val="24"/>
        </w:rPr>
        <w:t>Tecniques</w:t>
      </w:r>
      <w:proofErr w:type="spellEnd"/>
      <w:r w:rsidRPr="004A226A">
        <w:rPr>
          <w:b/>
          <w:color w:val="FF0000"/>
          <w:sz w:val="24"/>
        </w:rPr>
        <w:t>) e best practice per la gestione ed il trattamento dei rifiuti</w:t>
      </w:r>
    </w:p>
    <w:p w:rsidR="005241D9" w:rsidRPr="00051AA0" w:rsidRDefault="005241D9" w:rsidP="005241D9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26A" w:rsidRDefault="004A226A" w:rsidP="005241D9">
      <w:pPr>
        <w:rPr>
          <w:b/>
          <w:color w:val="FF0000"/>
          <w:sz w:val="24"/>
        </w:rPr>
      </w:pPr>
      <w:r w:rsidRPr="004A226A">
        <w:rPr>
          <w:b/>
          <w:color w:val="FF0000"/>
          <w:sz w:val="24"/>
        </w:rPr>
        <w:t>C.3.3 – Conferimento ad impianti che pubblicano una dichiarazione ambientale o un report ambientale</w:t>
      </w:r>
    </w:p>
    <w:p w:rsidR="005241D9" w:rsidRPr="00051AA0" w:rsidRDefault="005241D9" w:rsidP="005241D9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26A" w:rsidRPr="00051AA0" w:rsidRDefault="004A226A" w:rsidP="004A226A">
      <w:pPr>
        <w:rPr>
          <w:sz w:val="40"/>
        </w:rPr>
      </w:pPr>
      <w:r w:rsidRPr="004A226A">
        <w:rPr>
          <w:b/>
          <w:color w:val="FF0000"/>
          <w:sz w:val="24"/>
        </w:rPr>
        <w:t xml:space="preserve">C.3.4 - Impianti a “km zero” </w:t>
      </w: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226A" w:rsidRPr="00051AA0" w:rsidRDefault="004A226A" w:rsidP="004A226A">
      <w:pPr>
        <w:rPr>
          <w:sz w:val="40"/>
        </w:rPr>
      </w:pPr>
      <w:r w:rsidRPr="004A226A">
        <w:rPr>
          <w:b/>
          <w:color w:val="FF0000"/>
          <w:sz w:val="24"/>
        </w:rPr>
        <w:t xml:space="preserve">C.3.5 - Numero complessivo di impianti propri o con accordi commerciali già stipulati che ritireranno rifiuti prodotti dal Politecnico di Milano </w:t>
      </w:r>
      <w:bookmarkStart w:id="0" w:name="_GoBack"/>
      <w:bookmarkEnd w:id="0"/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41D9" w:rsidRPr="00051AA0" w:rsidRDefault="005241D9">
      <w:pPr>
        <w:rPr>
          <w:b/>
          <w:color w:val="FF0000"/>
          <w:sz w:val="24"/>
        </w:rPr>
      </w:pPr>
    </w:p>
    <w:sectPr w:rsidR="005241D9" w:rsidRPr="00051AA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D9" w:rsidRDefault="005241D9" w:rsidP="005241D9">
      <w:pPr>
        <w:spacing w:after="0" w:line="240" w:lineRule="auto"/>
      </w:pPr>
      <w:r>
        <w:separator/>
      </w:r>
    </w:p>
  </w:endnote>
  <w:endnote w:type="continuationSeparator" w:id="0">
    <w:p w:rsidR="005241D9" w:rsidRDefault="005241D9" w:rsidP="0052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849798"/>
      <w:docPartObj>
        <w:docPartGallery w:val="Page Numbers (Bottom of Page)"/>
        <w:docPartUnique/>
      </w:docPartObj>
    </w:sdtPr>
    <w:sdtEndPr/>
    <w:sdtContent>
      <w:p w:rsidR="005241D9" w:rsidRDefault="005241D9">
        <w:pPr>
          <w:pStyle w:val="Pidipagina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tango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1D9" w:rsidRDefault="005241D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A226A" w:rsidRPr="004A226A">
                                <w:rPr>
                                  <w:noProof/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  <w:r>
                                <w:rPr>
                                  <w:color w:val="C0504D" w:themeColor="accent2"/>
                                </w:rPr>
                                <w:t>/3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tango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" filled="f" fillcolor="#c0504d" stroked="f" strokecolor="#5c83b4" strokeweight="2.25pt">
                  <v:textbox inset=",0,,0">
                    <w:txbxContent>
                      <w:p w:rsidR="005241D9" w:rsidRDefault="005241D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A226A" w:rsidRPr="004A226A">
                          <w:rPr>
                            <w:noProof/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  <w:r>
                          <w:rPr>
                            <w:color w:val="C0504D" w:themeColor="accent2"/>
                          </w:rPr>
                          <w:t>/3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D9" w:rsidRDefault="005241D9" w:rsidP="005241D9">
      <w:pPr>
        <w:spacing w:after="0" w:line="240" w:lineRule="auto"/>
      </w:pPr>
      <w:r>
        <w:separator/>
      </w:r>
    </w:p>
  </w:footnote>
  <w:footnote w:type="continuationSeparator" w:id="0">
    <w:p w:rsidR="005241D9" w:rsidRDefault="005241D9" w:rsidP="00524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0"/>
    <w:rsid w:val="00051AA0"/>
    <w:rsid w:val="00063FD3"/>
    <w:rsid w:val="00197289"/>
    <w:rsid w:val="004A226A"/>
    <w:rsid w:val="005241D9"/>
    <w:rsid w:val="007F26B5"/>
    <w:rsid w:val="008D4B88"/>
    <w:rsid w:val="009A075F"/>
    <w:rsid w:val="00A50AF7"/>
    <w:rsid w:val="00B00AF2"/>
    <w:rsid w:val="00BD6CF7"/>
    <w:rsid w:val="00F8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CC7FD5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F26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524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1D9"/>
  </w:style>
  <w:style w:type="paragraph" w:styleId="Pidipagina">
    <w:name w:val="footer"/>
    <w:basedOn w:val="Normale"/>
    <w:link w:val="PidipaginaCarattere"/>
    <w:uiPriority w:val="99"/>
    <w:unhideWhenUsed/>
    <w:rsid w:val="005241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41D9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F26B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7</cp:revision>
  <dcterms:created xsi:type="dcterms:W3CDTF">2019-04-15T08:49:00Z</dcterms:created>
  <dcterms:modified xsi:type="dcterms:W3CDTF">2019-06-28T10:43:00Z</dcterms:modified>
</cp:coreProperties>
</file>