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44" w:rsidRPr="001D7751" w:rsidRDefault="00916531" w:rsidP="00916531">
      <w:pPr>
        <w:autoSpaceDE w:val="0"/>
        <w:autoSpaceDN w:val="0"/>
        <w:adjustRightInd w:val="0"/>
        <w:jc w:val="both"/>
        <w:rPr>
          <w:rFonts w:ascii="Calibri" w:eastAsia="Calibri" w:hAnsi="Calibri" w:cs="Calibri"/>
          <w:b/>
          <w:bCs/>
          <w:color w:val="000000"/>
          <w:lang w:eastAsia="en-US"/>
        </w:rPr>
      </w:pPr>
      <w:r w:rsidRPr="00916531">
        <w:rPr>
          <w:rFonts w:ascii="Calibri" w:eastAsia="Calibri" w:hAnsi="Calibri" w:cs="Calibri"/>
          <w:b/>
          <w:bCs/>
          <w:color w:val="000000"/>
          <w:lang w:eastAsia="en-US"/>
        </w:rPr>
        <w:t>FORNITURA DEI SERVIZI DI</w:t>
      </w:r>
      <w:r>
        <w:rPr>
          <w:rFonts w:ascii="Calibri" w:eastAsia="Calibri" w:hAnsi="Calibri" w:cs="Calibri"/>
          <w:b/>
          <w:bCs/>
          <w:color w:val="000000"/>
          <w:lang w:eastAsia="en-US"/>
        </w:rPr>
        <w:t xml:space="preserve"> </w:t>
      </w:r>
      <w:r w:rsidRPr="00916531">
        <w:rPr>
          <w:rFonts w:ascii="Calibri" w:eastAsia="Calibri" w:hAnsi="Calibri" w:cs="Calibri"/>
          <w:b/>
          <w:bCs/>
          <w:color w:val="000000"/>
          <w:lang w:eastAsia="en-US"/>
        </w:rPr>
        <w:t>MANUTENZIONE ORDINARIA E STRAORDINARIA DEGLI IMPIANTI ELEVATORI NELL’AMBITO DEL BANDO</w:t>
      </w:r>
      <w:r>
        <w:rPr>
          <w:rFonts w:ascii="Calibri" w:eastAsia="Calibri" w:hAnsi="Calibri" w:cs="Calibri"/>
          <w:b/>
          <w:bCs/>
          <w:color w:val="000000"/>
          <w:lang w:eastAsia="en-US"/>
        </w:rPr>
        <w:t xml:space="preserve"> </w:t>
      </w:r>
      <w:r w:rsidRPr="00916531">
        <w:rPr>
          <w:rFonts w:ascii="Calibri" w:eastAsia="Calibri" w:hAnsi="Calibri" w:cs="Calibri"/>
          <w:b/>
          <w:bCs/>
          <w:color w:val="000000"/>
          <w:lang w:eastAsia="en-US"/>
        </w:rPr>
        <w:t>ISTITUTIVO AVENTE AD OGGETTO IL SISTEMA DINAMICO DI ACQUISIZIONE DELLA PUBBLICA</w:t>
      </w:r>
      <w:r>
        <w:rPr>
          <w:rFonts w:ascii="Calibri" w:eastAsia="Calibri" w:hAnsi="Calibri" w:cs="Calibri"/>
          <w:b/>
          <w:bCs/>
          <w:color w:val="000000"/>
          <w:lang w:eastAsia="en-US"/>
        </w:rPr>
        <w:t xml:space="preserve"> </w:t>
      </w:r>
      <w:r w:rsidRPr="00916531">
        <w:rPr>
          <w:rFonts w:ascii="Calibri" w:eastAsia="Calibri" w:hAnsi="Calibri" w:cs="Calibri"/>
          <w:b/>
          <w:bCs/>
          <w:color w:val="000000"/>
          <w:lang w:eastAsia="en-US"/>
        </w:rPr>
        <w:t xml:space="preserve">AMMINISTRAZIONE PER LA FORNITURA DEI SERVIZI DI MANUTENZIONE DEGLI IMPIANTI ELEVATORI </w:t>
      </w:r>
      <w:r w:rsidR="00DC5044" w:rsidRPr="001D7751">
        <w:rPr>
          <w:rFonts w:ascii="Calibri" w:eastAsia="Calibri" w:hAnsi="Calibri" w:cs="Calibri"/>
          <w:b/>
          <w:bCs/>
          <w:color w:val="000000"/>
          <w:lang w:eastAsia="en-US"/>
        </w:rPr>
        <w:t>-</w:t>
      </w:r>
      <w:r w:rsidR="00DC5044" w:rsidRPr="001D7751">
        <w:rPr>
          <w:rFonts w:ascii="Calibri" w:eastAsia="Calibri" w:hAnsi="Calibri" w:cs="Calibri"/>
          <w:color w:val="000000"/>
          <w:lang w:eastAsia="en-US"/>
        </w:rPr>
        <w:t xml:space="preserve"> </w:t>
      </w:r>
      <w:r w:rsidR="00DC5044" w:rsidRPr="001D7751">
        <w:rPr>
          <w:rFonts w:ascii="Calibri" w:eastAsia="Calibri" w:hAnsi="Calibri" w:cs="Calibri"/>
          <w:b/>
          <w:bCs/>
          <w:color w:val="000000"/>
          <w:lang w:eastAsia="en-US"/>
        </w:rPr>
        <w:t>CIG N° 7084619C89</w:t>
      </w:r>
    </w:p>
    <w:p w:rsidR="00DC5044" w:rsidRPr="001D7751" w:rsidRDefault="00DC5044" w:rsidP="00DC5044">
      <w:pPr>
        <w:autoSpaceDE w:val="0"/>
        <w:autoSpaceDN w:val="0"/>
        <w:adjustRightInd w:val="0"/>
        <w:jc w:val="both"/>
        <w:rPr>
          <w:rFonts w:ascii="Calibri" w:eastAsia="Calibri" w:hAnsi="Calibri" w:cs="Calibri"/>
          <w:color w:val="000000"/>
          <w:lang w:eastAsia="en-US"/>
        </w:rPr>
      </w:pPr>
    </w:p>
    <w:p w:rsidR="00DC5044" w:rsidRDefault="00916531" w:rsidP="00DC5044">
      <w:pPr>
        <w:autoSpaceDE w:val="0"/>
        <w:autoSpaceDN w:val="0"/>
        <w:adjustRightInd w:val="0"/>
        <w:jc w:val="center"/>
        <w:rPr>
          <w:rFonts w:ascii="Calibri" w:eastAsia="Calibri" w:hAnsi="Calibri" w:cs="Calibri"/>
          <w:b/>
          <w:bCs/>
          <w:color w:val="000000"/>
          <w:u w:val="single"/>
          <w:lang w:eastAsia="en-US"/>
        </w:rPr>
      </w:pPr>
      <w:r>
        <w:rPr>
          <w:rFonts w:ascii="Calibri" w:eastAsia="Calibri" w:hAnsi="Calibri" w:cs="Calibri"/>
          <w:b/>
          <w:bCs/>
          <w:color w:val="000000"/>
          <w:u w:val="single"/>
          <w:lang w:eastAsia="en-US"/>
        </w:rPr>
        <w:t>CHIARIMENTI 1</w:t>
      </w:r>
    </w:p>
    <w:p w:rsidR="00916531" w:rsidRPr="001D7751" w:rsidRDefault="00916531" w:rsidP="00DC5044">
      <w:pPr>
        <w:autoSpaceDE w:val="0"/>
        <w:autoSpaceDN w:val="0"/>
        <w:adjustRightInd w:val="0"/>
        <w:jc w:val="center"/>
        <w:rPr>
          <w:rFonts w:ascii="Calibri" w:eastAsia="Calibri" w:hAnsi="Calibri" w:cs="Calibri"/>
          <w:color w:val="000000"/>
          <w:u w:val="single"/>
          <w:lang w:eastAsia="en-US"/>
        </w:rPr>
      </w:pPr>
    </w:p>
    <w:p w:rsidR="00E33DDB" w:rsidRPr="00E33DDB" w:rsidRDefault="00E33DDB" w:rsidP="00E33DDB">
      <w:pPr>
        <w:pStyle w:val="Paragrafobase"/>
        <w:jc w:val="both"/>
        <w:rPr>
          <w:rFonts w:ascii="Calibri" w:hAnsi="Calibri" w:cs="Calibri"/>
          <w:sz w:val="22"/>
          <w:szCs w:val="22"/>
        </w:rPr>
      </w:pPr>
      <w:r w:rsidRPr="00E33DDB">
        <w:rPr>
          <w:rFonts w:ascii="Calibri" w:hAnsi="Calibri" w:cs="Calibri"/>
          <w:sz w:val="22"/>
          <w:szCs w:val="22"/>
        </w:rPr>
        <w:t>D1) Buongiorno, con la presente Vi chiediamo se una società controllata di (omissis) possa partecipare alla medesima gara rilasciando dichiarazione ai sensi dell'art. 2359 cc. di non aver prodotto congiuntamente l'offerta economica provenendo la stessa da 2 centri decisionali differenti.</w:t>
      </w:r>
      <w:r>
        <w:rPr>
          <w:rFonts w:ascii="Calibri" w:hAnsi="Calibri" w:cs="Calibri"/>
          <w:sz w:val="22"/>
          <w:szCs w:val="22"/>
        </w:rPr>
        <w:t xml:space="preserve"> </w:t>
      </w:r>
      <w:r w:rsidRPr="00E33DDB">
        <w:rPr>
          <w:rFonts w:ascii="Calibri" w:hAnsi="Calibri" w:cs="Calibri"/>
          <w:sz w:val="22"/>
          <w:szCs w:val="22"/>
        </w:rPr>
        <w:t>Grazie mille</w:t>
      </w:r>
    </w:p>
    <w:p w:rsidR="00E33DDB" w:rsidRPr="00E33DDB" w:rsidRDefault="00E33DDB" w:rsidP="00E33DDB">
      <w:pPr>
        <w:pStyle w:val="Paragrafobase"/>
        <w:jc w:val="both"/>
        <w:rPr>
          <w:rFonts w:ascii="Calibri" w:hAnsi="Calibri" w:cs="Calibri"/>
          <w:sz w:val="22"/>
          <w:szCs w:val="22"/>
        </w:rPr>
      </w:pPr>
    </w:p>
    <w:p w:rsidR="00E33DDB" w:rsidRPr="00E61BDF" w:rsidRDefault="00E33DDB" w:rsidP="00E33DDB">
      <w:pPr>
        <w:pStyle w:val="Paragrafobase"/>
        <w:jc w:val="both"/>
        <w:rPr>
          <w:rFonts w:ascii="Calibri" w:hAnsi="Calibri" w:cs="Calibri"/>
          <w:i/>
          <w:sz w:val="22"/>
          <w:szCs w:val="22"/>
        </w:rPr>
      </w:pPr>
      <w:r w:rsidRPr="00E33DDB">
        <w:rPr>
          <w:rFonts w:ascii="Calibri" w:hAnsi="Calibri" w:cs="Calibri"/>
          <w:sz w:val="22"/>
          <w:szCs w:val="22"/>
        </w:rPr>
        <w:t xml:space="preserve">R1) </w:t>
      </w:r>
      <w:r w:rsidRPr="00E33DDB">
        <w:rPr>
          <w:rFonts w:ascii="Calibri" w:hAnsi="Calibri" w:cs="Calibri"/>
          <w:b/>
          <w:sz w:val="22"/>
          <w:szCs w:val="22"/>
        </w:rPr>
        <w:t>Considerato</w:t>
      </w:r>
      <w:r w:rsidRPr="00E33DDB">
        <w:rPr>
          <w:rFonts w:ascii="Calibri" w:hAnsi="Calibri" w:cs="Calibri"/>
          <w:sz w:val="22"/>
          <w:szCs w:val="22"/>
        </w:rPr>
        <w:t xml:space="preserve"> che secondo quanto previsto dall’art. 2359 C.C.</w:t>
      </w:r>
      <w:r w:rsidR="00E61BDF">
        <w:rPr>
          <w:rFonts w:ascii="Calibri" w:hAnsi="Calibri" w:cs="Calibri"/>
          <w:sz w:val="22"/>
          <w:szCs w:val="22"/>
        </w:rPr>
        <w:t>:</w:t>
      </w:r>
      <w:r w:rsidRPr="00E33DDB">
        <w:rPr>
          <w:rFonts w:ascii="Calibri" w:hAnsi="Calibri" w:cs="Calibri"/>
          <w:sz w:val="22"/>
          <w:szCs w:val="22"/>
        </w:rPr>
        <w:t xml:space="preserve"> </w:t>
      </w:r>
      <w:r w:rsidR="00E61BDF" w:rsidRPr="00E61BDF">
        <w:rPr>
          <w:rFonts w:ascii="Calibri" w:hAnsi="Calibri" w:cs="Calibri"/>
          <w:i/>
          <w:sz w:val="22"/>
          <w:szCs w:val="22"/>
        </w:rPr>
        <w:t>“</w:t>
      </w:r>
      <w:r w:rsidRPr="00E61BDF">
        <w:rPr>
          <w:rFonts w:ascii="Calibri" w:hAnsi="Calibri" w:cs="Calibri"/>
          <w:i/>
          <w:sz w:val="22"/>
          <w:szCs w:val="22"/>
        </w:rPr>
        <w:t>sono considerate società controllate:</w:t>
      </w:r>
    </w:p>
    <w:p w:rsidR="00E33DDB" w:rsidRPr="00E61BDF" w:rsidRDefault="00E33DDB" w:rsidP="00E33DDB">
      <w:pPr>
        <w:pStyle w:val="Paragrafobase"/>
        <w:jc w:val="both"/>
        <w:rPr>
          <w:rFonts w:ascii="Calibri" w:hAnsi="Calibri" w:cs="Calibri"/>
          <w:i/>
          <w:sz w:val="22"/>
          <w:szCs w:val="22"/>
        </w:rPr>
      </w:pPr>
      <w:r w:rsidRPr="00E61BDF">
        <w:rPr>
          <w:rFonts w:ascii="Calibri" w:hAnsi="Calibri" w:cs="Calibri"/>
          <w:i/>
          <w:sz w:val="22"/>
          <w:szCs w:val="22"/>
        </w:rPr>
        <w:t>1) le società in cui un’altra società dispone della maggioranza dei voti esercitabili nell’assemblea ordinaria;</w:t>
      </w:r>
    </w:p>
    <w:p w:rsidR="00E33DDB" w:rsidRPr="00E61BDF" w:rsidRDefault="00E33DDB" w:rsidP="00E33DDB">
      <w:pPr>
        <w:pStyle w:val="Paragrafobase"/>
        <w:jc w:val="both"/>
        <w:rPr>
          <w:rFonts w:ascii="Calibri" w:hAnsi="Calibri" w:cs="Calibri"/>
          <w:i/>
          <w:sz w:val="22"/>
          <w:szCs w:val="22"/>
        </w:rPr>
      </w:pPr>
      <w:r w:rsidRPr="00E61BDF">
        <w:rPr>
          <w:rFonts w:ascii="Calibri" w:hAnsi="Calibri" w:cs="Calibri"/>
          <w:i/>
          <w:sz w:val="22"/>
          <w:szCs w:val="22"/>
        </w:rPr>
        <w:t>2) le società in cui un’altra società dispone di voti sufficienti per esercitare un’influenza dominante nell’assemblea ordinaria;</w:t>
      </w:r>
    </w:p>
    <w:p w:rsidR="00E33DDB" w:rsidRPr="00E61BDF" w:rsidRDefault="00E33DDB" w:rsidP="00E33DDB">
      <w:pPr>
        <w:pStyle w:val="Paragrafobase"/>
        <w:jc w:val="both"/>
        <w:rPr>
          <w:rFonts w:ascii="Calibri" w:hAnsi="Calibri" w:cs="Calibri"/>
          <w:i/>
          <w:sz w:val="22"/>
          <w:szCs w:val="22"/>
        </w:rPr>
      </w:pPr>
      <w:r w:rsidRPr="00E61BDF">
        <w:rPr>
          <w:rFonts w:ascii="Calibri" w:hAnsi="Calibri" w:cs="Calibri"/>
          <w:i/>
          <w:sz w:val="22"/>
          <w:szCs w:val="22"/>
        </w:rPr>
        <w:t>3) le società che sono sotto influenza dominante di un’altra società in virtù di particolari vincoli contrattuali con essa.</w:t>
      </w:r>
    </w:p>
    <w:p w:rsidR="00E33DDB" w:rsidRPr="00E61BDF" w:rsidRDefault="00E33DDB" w:rsidP="00E33DDB">
      <w:pPr>
        <w:pStyle w:val="Paragrafobase"/>
        <w:jc w:val="both"/>
        <w:rPr>
          <w:rFonts w:ascii="Calibri" w:hAnsi="Calibri" w:cs="Calibri"/>
          <w:i/>
          <w:sz w:val="22"/>
          <w:szCs w:val="22"/>
        </w:rPr>
      </w:pPr>
      <w:r w:rsidRPr="00E61BDF">
        <w:rPr>
          <w:rFonts w:ascii="Calibri" w:hAnsi="Calibri" w:cs="Calibri"/>
          <w:i/>
          <w:sz w:val="22"/>
          <w:szCs w:val="22"/>
        </w:rPr>
        <w:t xml:space="preserve">Ai fini dell’applicazione dei </w:t>
      </w:r>
      <w:proofErr w:type="spellStart"/>
      <w:r w:rsidRPr="00E61BDF">
        <w:rPr>
          <w:rFonts w:ascii="Calibri" w:hAnsi="Calibri" w:cs="Calibri"/>
          <w:i/>
          <w:sz w:val="22"/>
          <w:szCs w:val="22"/>
        </w:rPr>
        <w:t>nn</w:t>
      </w:r>
      <w:proofErr w:type="spellEnd"/>
      <w:r w:rsidRPr="00E61BDF">
        <w:rPr>
          <w:rFonts w:ascii="Calibri" w:hAnsi="Calibri" w:cs="Calibri"/>
          <w:i/>
          <w:sz w:val="22"/>
          <w:szCs w:val="22"/>
        </w:rPr>
        <w:t>. 1 e 2 del primo comma si computano anche i voti spettanti a società controllate, a società fiduciarie e a persona interposta; non si computano i voti spettanti per conto di terzi.</w:t>
      </w:r>
    </w:p>
    <w:p w:rsidR="00E33DDB" w:rsidRPr="00E61BDF" w:rsidRDefault="00E33DDB" w:rsidP="00E33DDB">
      <w:pPr>
        <w:pStyle w:val="Paragrafobase"/>
        <w:jc w:val="both"/>
        <w:rPr>
          <w:rFonts w:ascii="Calibri" w:hAnsi="Calibri" w:cs="Calibri"/>
          <w:i/>
          <w:sz w:val="22"/>
          <w:szCs w:val="22"/>
        </w:rPr>
      </w:pPr>
      <w:r w:rsidRPr="00E61BDF">
        <w:rPr>
          <w:rFonts w:ascii="Calibri" w:hAnsi="Calibri" w:cs="Calibri"/>
          <w:i/>
          <w:sz w:val="22"/>
          <w:szCs w:val="22"/>
        </w:rPr>
        <w:t>Sono considerate collegate le società sulle quali un’altra società esercita un’influenza notevole. L’influenza si presume quando nell’assemblea ordinaria può essere esercitato almeno un quinto dei voti ovvero un decimo se la società ha azioni quotate in borsa.</w:t>
      </w:r>
      <w:r w:rsidR="00E61BDF" w:rsidRPr="00E61BDF">
        <w:rPr>
          <w:rFonts w:ascii="Calibri" w:hAnsi="Calibri" w:cs="Calibri"/>
          <w:i/>
          <w:sz w:val="22"/>
          <w:szCs w:val="22"/>
        </w:rPr>
        <w:t>”</w:t>
      </w:r>
    </w:p>
    <w:p w:rsidR="00E33DDB" w:rsidRPr="00E33DDB" w:rsidRDefault="00E33DDB" w:rsidP="00E33DDB">
      <w:pPr>
        <w:pStyle w:val="Paragrafobase"/>
        <w:jc w:val="both"/>
        <w:rPr>
          <w:rFonts w:ascii="Calibri" w:hAnsi="Calibri" w:cs="Calibri"/>
          <w:sz w:val="22"/>
          <w:szCs w:val="22"/>
        </w:rPr>
      </w:pPr>
      <w:r w:rsidRPr="00E33DDB">
        <w:rPr>
          <w:rFonts w:ascii="Calibri" w:hAnsi="Calibri" w:cs="Calibri"/>
          <w:b/>
          <w:sz w:val="22"/>
          <w:szCs w:val="22"/>
        </w:rPr>
        <w:t>Considerato</w:t>
      </w:r>
      <w:r w:rsidRPr="00E33DDB">
        <w:rPr>
          <w:rFonts w:ascii="Calibri" w:hAnsi="Calibri" w:cs="Calibri"/>
          <w:sz w:val="22"/>
          <w:szCs w:val="22"/>
        </w:rPr>
        <w:t xml:space="preserve"> inoltre che secondo quanto previsto dal </w:t>
      </w:r>
      <w:proofErr w:type="spellStart"/>
      <w:r w:rsidRPr="00E33DDB">
        <w:rPr>
          <w:rFonts w:ascii="Calibri" w:hAnsi="Calibri" w:cs="Calibri"/>
          <w:sz w:val="22"/>
          <w:szCs w:val="22"/>
        </w:rPr>
        <w:t>Dlgs</w:t>
      </w:r>
      <w:proofErr w:type="spellEnd"/>
      <w:r w:rsidRPr="00E33DDB">
        <w:rPr>
          <w:rFonts w:ascii="Calibri" w:hAnsi="Calibri" w:cs="Calibri"/>
          <w:sz w:val="22"/>
          <w:szCs w:val="22"/>
        </w:rPr>
        <w:t xml:space="preserve"> 50/2016 ART 80 c</w:t>
      </w:r>
      <w:r w:rsidR="00E61BDF">
        <w:rPr>
          <w:rFonts w:ascii="Calibri" w:hAnsi="Calibri" w:cs="Calibri"/>
          <w:sz w:val="22"/>
          <w:szCs w:val="22"/>
        </w:rPr>
        <w:t>.</w:t>
      </w:r>
      <w:r w:rsidRPr="00E33DDB">
        <w:rPr>
          <w:rFonts w:ascii="Calibri" w:hAnsi="Calibri" w:cs="Calibri"/>
          <w:sz w:val="22"/>
          <w:szCs w:val="22"/>
        </w:rPr>
        <w:t xml:space="preserve">5m </w:t>
      </w:r>
      <w:r w:rsidR="00E61BDF" w:rsidRPr="00E61BDF">
        <w:rPr>
          <w:rFonts w:ascii="Calibri" w:hAnsi="Calibri" w:cs="Calibri"/>
          <w:i/>
          <w:sz w:val="22"/>
          <w:szCs w:val="22"/>
        </w:rPr>
        <w:t>“</w:t>
      </w:r>
      <w:r w:rsidRPr="00E61BDF">
        <w:rPr>
          <w:rFonts w:ascii="Calibri" w:hAnsi="Calibri" w:cs="Calibri"/>
          <w:i/>
          <w:sz w:val="22"/>
          <w:szCs w:val="22"/>
        </w:rPr>
        <w:t>i motivi per cui le stazioni appaltanti escludono dalla partecipazione alla procedura d'appalto un operatore economico, anche riferita a un suo subappaltatore nei casi di cui all'articolo 105, qualora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00E61BDF">
        <w:rPr>
          <w:rFonts w:ascii="Calibri" w:hAnsi="Calibri" w:cs="Calibri"/>
          <w:i/>
          <w:sz w:val="22"/>
          <w:szCs w:val="22"/>
        </w:rPr>
        <w:t>”</w:t>
      </w:r>
    </w:p>
    <w:p w:rsidR="00E33DDB" w:rsidRPr="00E33DDB" w:rsidRDefault="00E33DDB" w:rsidP="00E33DDB">
      <w:pPr>
        <w:pStyle w:val="Paragrafobase"/>
        <w:jc w:val="both"/>
        <w:rPr>
          <w:rFonts w:ascii="Calibri" w:hAnsi="Calibri" w:cs="Calibri"/>
          <w:sz w:val="22"/>
          <w:szCs w:val="22"/>
        </w:rPr>
      </w:pPr>
      <w:r w:rsidRPr="00E33DDB">
        <w:rPr>
          <w:rFonts w:ascii="Calibri" w:hAnsi="Calibri" w:cs="Calibri"/>
          <w:b/>
          <w:sz w:val="22"/>
          <w:szCs w:val="22"/>
        </w:rPr>
        <w:t>Si comunica</w:t>
      </w:r>
      <w:r w:rsidRPr="00E33DDB">
        <w:rPr>
          <w:rFonts w:ascii="Calibri" w:hAnsi="Calibri" w:cs="Calibri"/>
          <w:sz w:val="22"/>
          <w:szCs w:val="22"/>
        </w:rPr>
        <w:t xml:space="preserve"> che una società controllata può partecipare alla medesima gara rilasciando dichiarazione ai sensi dell'art. 2359 cc. e art 80 </w:t>
      </w:r>
      <w:proofErr w:type="spellStart"/>
      <w:r w:rsidRPr="00E33DDB">
        <w:rPr>
          <w:rFonts w:ascii="Calibri" w:hAnsi="Calibri" w:cs="Calibri"/>
          <w:sz w:val="22"/>
          <w:szCs w:val="22"/>
        </w:rPr>
        <w:t>Dlgs</w:t>
      </w:r>
      <w:proofErr w:type="spellEnd"/>
      <w:r w:rsidRPr="00E33DDB">
        <w:rPr>
          <w:rFonts w:ascii="Calibri" w:hAnsi="Calibri" w:cs="Calibri"/>
          <w:sz w:val="22"/>
          <w:szCs w:val="22"/>
        </w:rPr>
        <w:t xml:space="preserve"> 50/2016 di non aver prodotto congiuntamente l'offerta economica provenendo la stessa da 2 centri decisionali differenti. </w:t>
      </w:r>
      <w:r w:rsidR="00475B1B" w:rsidRPr="00475B1B">
        <w:rPr>
          <w:rFonts w:ascii="Calibri" w:hAnsi="Calibri" w:cs="Calibri"/>
          <w:sz w:val="22"/>
          <w:szCs w:val="22"/>
        </w:rPr>
        <w:t xml:space="preserve">Si dovrà allegare </w:t>
      </w:r>
      <w:r w:rsidR="00F95C20">
        <w:rPr>
          <w:rFonts w:ascii="Calibri" w:hAnsi="Calibri" w:cs="Calibri"/>
          <w:sz w:val="22"/>
          <w:szCs w:val="22"/>
        </w:rPr>
        <w:t>una</w:t>
      </w:r>
      <w:r w:rsidRPr="00475B1B">
        <w:rPr>
          <w:rFonts w:ascii="Calibri" w:hAnsi="Calibri" w:cs="Calibri"/>
          <w:sz w:val="22"/>
          <w:szCs w:val="22"/>
        </w:rPr>
        <w:t xml:space="preserve"> </w:t>
      </w:r>
      <w:r w:rsidR="00475B1B" w:rsidRPr="00475B1B">
        <w:rPr>
          <w:rFonts w:ascii="Calibri" w:hAnsi="Calibri" w:cs="Calibri"/>
          <w:sz w:val="22"/>
          <w:szCs w:val="22"/>
        </w:rPr>
        <w:t xml:space="preserve">dichiarazione </w:t>
      </w:r>
      <w:bookmarkStart w:id="0" w:name="_GoBack"/>
      <w:bookmarkEnd w:id="0"/>
      <w:r w:rsidR="00475B1B" w:rsidRPr="00475B1B">
        <w:rPr>
          <w:rFonts w:ascii="Calibri" w:hAnsi="Calibri" w:cs="Calibri"/>
          <w:sz w:val="22"/>
          <w:szCs w:val="22"/>
        </w:rPr>
        <w:t xml:space="preserve">firmata digitalmente dall’operatore economico </w:t>
      </w:r>
      <w:r w:rsidR="002430FF">
        <w:rPr>
          <w:rFonts w:ascii="Calibri" w:hAnsi="Calibri" w:cs="Calibri"/>
          <w:sz w:val="22"/>
          <w:szCs w:val="22"/>
        </w:rPr>
        <w:t xml:space="preserve">controllato </w:t>
      </w:r>
      <w:r w:rsidR="00475B1B" w:rsidRPr="00475B1B">
        <w:rPr>
          <w:rFonts w:ascii="Calibri" w:hAnsi="Calibri" w:cs="Calibri"/>
          <w:sz w:val="22"/>
          <w:szCs w:val="22"/>
        </w:rPr>
        <w:t xml:space="preserve">che presenta l’offerta </w:t>
      </w:r>
      <w:r w:rsidR="002430FF" w:rsidRPr="002430FF">
        <w:rPr>
          <w:rFonts w:ascii="Calibri" w:hAnsi="Calibri" w:cs="Calibri"/>
          <w:sz w:val="22"/>
          <w:szCs w:val="22"/>
        </w:rPr>
        <w:t xml:space="preserve">e dalla società madre che </w:t>
      </w:r>
      <w:r w:rsidR="00F95C20">
        <w:rPr>
          <w:rFonts w:ascii="Calibri" w:hAnsi="Calibri" w:cs="Calibri"/>
          <w:sz w:val="22"/>
          <w:szCs w:val="22"/>
        </w:rPr>
        <w:t>controlla</w:t>
      </w:r>
      <w:r w:rsidR="002430FF">
        <w:rPr>
          <w:rFonts w:ascii="Calibri" w:hAnsi="Calibri" w:cs="Calibri"/>
          <w:sz w:val="22"/>
          <w:szCs w:val="22"/>
        </w:rPr>
        <w:t xml:space="preserve"> </w:t>
      </w:r>
      <w:r w:rsidR="002430FF">
        <w:rPr>
          <w:rFonts w:ascii="Calibri" w:hAnsi="Calibri" w:cs="Calibri"/>
          <w:sz w:val="22"/>
          <w:szCs w:val="22"/>
        </w:rPr>
        <w:lastRenderedPageBreak/>
        <w:t>l’operatore</w:t>
      </w:r>
      <w:r w:rsidR="00F95C20">
        <w:rPr>
          <w:rFonts w:ascii="Calibri" w:hAnsi="Calibri" w:cs="Calibri"/>
          <w:sz w:val="22"/>
          <w:szCs w:val="22"/>
        </w:rPr>
        <w:t xml:space="preserve"> partecipante</w:t>
      </w:r>
      <w:r w:rsidR="00A52723">
        <w:rPr>
          <w:rFonts w:ascii="Calibri" w:hAnsi="Calibri" w:cs="Calibri"/>
          <w:sz w:val="22"/>
          <w:szCs w:val="22"/>
        </w:rPr>
        <w:t xml:space="preserve">, </w:t>
      </w:r>
      <w:r w:rsidR="00A52723" w:rsidRPr="00A52723">
        <w:rPr>
          <w:rFonts w:ascii="Calibri" w:hAnsi="Calibri" w:cs="Calibri"/>
          <w:sz w:val="22"/>
          <w:szCs w:val="22"/>
        </w:rPr>
        <w:t>che illustri le specifiche situazioni societarie e le procedure adottate a garanzia e dimostrazione che le offerte non sono imputabili ad un unico centro decisionale</w:t>
      </w:r>
      <w:r w:rsidR="002430FF">
        <w:rPr>
          <w:rFonts w:ascii="Calibri" w:hAnsi="Calibri" w:cs="Calibri"/>
          <w:sz w:val="22"/>
          <w:szCs w:val="22"/>
        </w:rPr>
        <w:t xml:space="preserve">. Tale dichiarazione dovrà essere caricata </w:t>
      </w:r>
      <w:r w:rsidR="00475B1B" w:rsidRPr="00475B1B">
        <w:rPr>
          <w:rFonts w:ascii="Calibri" w:hAnsi="Calibri" w:cs="Calibri"/>
          <w:sz w:val="22"/>
          <w:szCs w:val="22"/>
        </w:rPr>
        <w:t>nello</w:t>
      </w:r>
      <w:r w:rsidRPr="00475B1B">
        <w:rPr>
          <w:rFonts w:ascii="Calibri" w:hAnsi="Calibri" w:cs="Calibri"/>
          <w:sz w:val="22"/>
          <w:szCs w:val="22"/>
        </w:rPr>
        <w:t xml:space="preserve"> slot </w:t>
      </w:r>
      <w:r w:rsidR="00475B1B" w:rsidRPr="00475B1B">
        <w:rPr>
          <w:rFonts w:ascii="Calibri" w:hAnsi="Calibri" w:cs="Calibri"/>
          <w:sz w:val="22"/>
          <w:szCs w:val="22"/>
        </w:rPr>
        <w:t>denominato</w:t>
      </w:r>
      <w:r w:rsidR="00475B1B" w:rsidRPr="00475B1B">
        <w:t xml:space="preserve"> </w:t>
      </w:r>
      <w:r w:rsidR="00475B1B">
        <w:t>“</w:t>
      </w:r>
      <w:r w:rsidR="00475B1B" w:rsidRPr="00475B1B">
        <w:rPr>
          <w:rFonts w:ascii="Calibri" w:hAnsi="Calibri" w:cs="Calibri"/>
          <w:sz w:val="22"/>
          <w:szCs w:val="22"/>
        </w:rPr>
        <w:t>Eventuale documentazione amministrativa aggiuntiva”.</w:t>
      </w:r>
    </w:p>
    <w:p w:rsidR="00E33DDB" w:rsidRPr="00E33DDB" w:rsidRDefault="00E33DDB" w:rsidP="00E33DDB">
      <w:pPr>
        <w:pStyle w:val="Paragrafobase"/>
        <w:jc w:val="both"/>
        <w:rPr>
          <w:rFonts w:ascii="Calibri" w:hAnsi="Calibri" w:cs="Calibri"/>
          <w:sz w:val="22"/>
          <w:szCs w:val="22"/>
        </w:rPr>
      </w:pPr>
    </w:p>
    <w:p w:rsidR="00E33DDB" w:rsidRPr="00E33DDB" w:rsidRDefault="00E33DDB" w:rsidP="00E33DDB">
      <w:pPr>
        <w:pStyle w:val="Paragrafobase"/>
        <w:jc w:val="both"/>
        <w:rPr>
          <w:rFonts w:ascii="Calibri" w:hAnsi="Calibri" w:cs="Calibri"/>
          <w:sz w:val="22"/>
          <w:szCs w:val="22"/>
        </w:rPr>
      </w:pPr>
      <w:r w:rsidRPr="00E33DDB">
        <w:rPr>
          <w:rFonts w:ascii="Calibri" w:hAnsi="Calibri" w:cs="Calibri"/>
          <w:sz w:val="22"/>
          <w:szCs w:val="22"/>
        </w:rPr>
        <w:t>Si ricorda che tutte le imprese</w:t>
      </w:r>
      <w:r w:rsidR="00F95C20">
        <w:rPr>
          <w:rFonts w:ascii="Calibri" w:hAnsi="Calibri" w:cs="Calibri"/>
          <w:sz w:val="22"/>
          <w:szCs w:val="22"/>
        </w:rPr>
        <w:t>/operatori economici</w:t>
      </w:r>
      <w:r w:rsidRPr="00E33DDB">
        <w:rPr>
          <w:rFonts w:ascii="Calibri" w:hAnsi="Calibri" w:cs="Calibri"/>
          <w:sz w:val="22"/>
          <w:szCs w:val="22"/>
        </w:rPr>
        <w:t xml:space="preserve"> che siano interessate a partecipare al singolo Appalto Specifico in qualsiasi forma di partecipazione, devono essere state singolarmente ammesse ad una delle classi relative alla categoria/e merceologica/che oggetto dell’Appalto.</w:t>
      </w:r>
    </w:p>
    <w:p w:rsidR="00E33DDB" w:rsidRPr="00E33DDB" w:rsidRDefault="00E33DDB" w:rsidP="00E33DDB">
      <w:pPr>
        <w:pStyle w:val="Paragrafobase"/>
        <w:jc w:val="both"/>
        <w:rPr>
          <w:rFonts w:ascii="Calibri" w:hAnsi="Calibri" w:cs="Calibri"/>
          <w:sz w:val="22"/>
          <w:szCs w:val="22"/>
        </w:rPr>
      </w:pPr>
    </w:p>
    <w:p w:rsidR="00916531" w:rsidRPr="00724110" w:rsidRDefault="00E33DDB" w:rsidP="00E33DDB">
      <w:pPr>
        <w:pStyle w:val="Paragrafobase"/>
        <w:jc w:val="both"/>
        <w:rPr>
          <w:rFonts w:ascii="Calibri" w:hAnsi="Calibri" w:cs="Calibri"/>
          <w:sz w:val="22"/>
          <w:szCs w:val="22"/>
        </w:rPr>
      </w:pPr>
      <w:r w:rsidRPr="00E33DDB">
        <w:rPr>
          <w:rFonts w:ascii="Calibri" w:hAnsi="Calibri" w:cs="Calibri"/>
          <w:sz w:val="22"/>
          <w:szCs w:val="22"/>
        </w:rPr>
        <w:t>Il RUP</w:t>
      </w:r>
    </w:p>
    <w:sectPr w:rsidR="00916531" w:rsidRPr="00724110" w:rsidSect="00D04315">
      <w:headerReference w:type="default" r:id="rId6"/>
      <w:headerReference w:type="first" r:id="rId7"/>
      <w:footerReference w:type="first" r:id="rId8"/>
      <w:type w:val="continuous"/>
      <w:pgSz w:w="11906" w:h="16838" w:code="9"/>
      <w:pgMar w:top="2835" w:right="1134" w:bottom="1559" w:left="2835"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10" w:rsidRDefault="00724110">
      <w:r>
        <w:separator/>
      </w:r>
    </w:p>
  </w:endnote>
  <w:endnote w:type="continuationSeparator" w:id="0">
    <w:p w:rsidR="00724110" w:rsidRDefault="0072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Bol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Layout w:type="fixed"/>
      <w:tblLook w:val="04A0" w:firstRow="1" w:lastRow="0" w:firstColumn="1" w:lastColumn="0" w:noHBand="0" w:noVBand="1"/>
    </w:tblPr>
    <w:tblGrid>
      <w:gridCol w:w="2666"/>
      <w:gridCol w:w="236"/>
      <w:gridCol w:w="2667"/>
      <w:gridCol w:w="236"/>
      <w:gridCol w:w="2667"/>
    </w:tblGrid>
    <w:tr w:rsidR="00F94B09" w:rsidTr="008B41AF">
      <w:tc>
        <w:tcPr>
          <w:tcW w:w="2676" w:type="dxa"/>
          <w:shd w:val="clear" w:color="auto" w:fill="auto"/>
        </w:tcPr>
        <w:p w:rsidR="00DF7E30" w:rsidRDefault="00DF7E30" w:rsidP="00DF7E30">
          <w:pPr>
            <w:autoSpaceDE w:val="0"/>
            <w:autoSpaceDN w:val="0"/>
            <w:adjustRightInd w:val="0"/>
            <w:rPr>
              <w:rFonts w:ascii="Georgia-Bold" w:hAnsi="Georgia-Bold" w:cs="Georgia-Bold"/>
              <w:b/>
              <w:bCs/>
              <w:color w:val="000000"/>
              <w:sz w:val="16"/>
              <w:szCs w:val="16"/>
            </w:rPr>
          </w:pPr>
          <w:r w:rsidRPr="00A31168">
            <w:rPr>
              <w:rFonts w:ascii="Georgia-Bold" w:hAnsi="Georgia-Bold" w:cs="Georgia-Bold"/>
              <w:b/>
              <w:bCs/>
              <w:color w:val="000000"/>
              <w:sz w:val="16"/>
              <w:szCs w:val="16"/>
            </w:rPr>
            <w:t>Area Gestione Infrastrutture e Servizi</w:t>
          </w:r>
        </w:p>
        <w:p w:rsidR="00DF7E30" w:rsidRPr="00A31168" w:rsidRDefault="00DF7E30" w:rsidP="00DF7E30">
          <w:pPr>
            <w:autoSpaceDE w:val="0"/>
            <w:autoSpaceDN w:val="0"/>
            <w:adjustRightInd w:val="0"/>
            <w:rPr>
              <w:rFonts w:ascii="Georgia" w:hAnsi="Georgia" w:cs="Georgia"/>
              <w:sz w:val="16"/>
              <w:szCs w:val="16"/>
            </w:rPr>
          </w:pPr>
          <w:r w:rsidRPr="00A31168">
            <w:rPr>
              <w:rFonts w:ascii="Georgia" w:hAnsi="Georgia" w:cs="Georgia"/>
              <w:sz w:val="16"/>
              <w:szCs w:val="16"/>
            </w:rPr>
            <w:t>Piazza Leonardo da Vinci, 32</w:t>
          </w:r>
        </w:p>
        <w:p w:rsidR="00EF5580" w:rsidRDefault="00DF7E30" w:rsidP="00DF7E30">
          <w:pPr>
            <w:autoSpaceDE w:val="0"/>
            <w:autoSpaceDN w:val="0"/>
            <w:adjustRightInd w:val="0"/>
          </w:pPr>
          <w:r w:rsidRPr="00A31168">
            <w:rPr>
              <w:rFonts w:ascii="Georgia" w:hAnsi="Georgia" w:cs="Georgia"/>
              <w:sz w:val="16"/>
              <w:szCs w:val="16"/>
            </w:rPr>
            <w:t>20133 Milano</w:t>
          </w:r>
        </w:p>
      </w:tc>
      <w:tc>
        <w:tcPr>
          <w:tcW w:w="236" w:type="dxa"/>
          <w:shd w:val="clear" w:color="auto" w:fill="auto"/>
        </w:tcPr>
        <w:p w:rsidR="00F94B09" w:rsidRDefault="00F94B09" w:rsidP="00F94B09">
          <w:pPr>
            <w:pStyle w:val="Pidipagina"/>
          </w:pPr>
        </w:p>
      </w:tc>
      <w:tc>
        <w:tcPr>
          <w:tcW w:w="2676" w:type="dxa"/>
          <w:shd w:val="clear" w:color="auto" w:fill="auto"/>
          <w:vAlign w:val="center"/>
        </w:tcPr>
        <w:p w:rsidR="00DF7E30" w:rsidRPr="00973E34" w:rsidRDefault="00973E34" w:rsidP="00DF7E30">
          <w:pPr>
            <w:pStyle w:val="Pidipagina"/>
            <w:rPr>
              <w:rFonts w:ascii="Georgia" w:hAnsi="Georgia" w:cs="Georgia"/>
              <w:sz w:val="16"/>
              <w:szCs w:val="16"/>
              <w:lang w:val="en-US"/>
            </w:rPr>
          </w:pPr>
          <w:r w:rsidRPr="00973E34">
            <w:rPr>
              <w:rFonts w:ascii="Georgia" w:hAnsi="Georgia" w:cs="Georgia"/>
              <w:sz w:val="16"/>
              <w:szCs w:val="16"/>
              <w:lang w:val="en-US"/>
            </w:rPr>
            <w:t>Tel. 02 23999300</w:t>
          </w:r>
          <w:r w:rsidR="00DF7E30" w:rsidRPr="00973E34">
            <w:rPr>
              <w:rFonts w:ascii="Georgia" w:hAnsi="Georgia" w:cs="Georgia"/>
              <w:sz w:val="16"/>
              <w:szCs w:val="16"/>
              <w:lang w:val="en-US"/>
            </w:rPr>
            <w:tab/>
            <w:t>02 2399 5404/5406</w:t>
          </w:r>
        </w:p>
        <w:p w:rsidR="00DF7E30" w:rsidRPr="00973E34" w:rsidRDefault="00973E34" w:rsidP="00DF7E30">
          <w:pPr>
            <w:pStyle w:val="Pidipagina"/>
            <w:rPr>
              <w:rFonts w:ascii="Georgia" w:hAnsi="Georgia" w:cs="Georgia"/>
              <w:sz w:val="16"/>
              <w:szCs w:val="16"/>
              <w:lang w:val="en-US"/>
            </w:rPr>
          </w:pPr>
          <w:r>
            <w:rPr>
              <w:rFonts w:ascii="Georgia" w:hAnsi="Georgia" w:cs="Georgia"/>
              <w:sz w:val="16"/>
              <w:szCs w:val="16"/>
              <w:lang w:val="en-US"/>
            </w:rPr>
            <w:t>Fax 02 23992076</w:t>
          </w:r>
          <w:r w:rsidR="00DF7E30" w:rsidRPr="00973E34">
            <w:rPr>
              <w:rFonts w:ascii="Georgia" w:hAnsi="Georgia" w:cs="Georgia"/>
              <w:sz w:val="16"/>
              <w:szCs w:val="16"/>
              <w:lang w:val="en-US"/>
            </w:rPr>
            <w:tab/>
          </w:r>
        </w:p>
        <w:p w:rsidR="00CC06CE" w:rsidRPr="00973E34" w:rsidRDefault="00DF7E30" w:rsidP="00DF7E30">
          <w:pPr>
            <w:pStyle w:val="Pidipagina"/>
            <w:rPr>
              <w:lang w:val="en-US"/>
            </w:rPr>
          </w:pPr>
          <w:r w:rsidRPr="00973E34">
            <w:rPr>
              <w:rFonts w:ascii="Georgia" w:hAnsi="Georgia" w:cs="Georgia"/>
              <w:sz w:val="16"/>
              <w:szCs w:val="16"/>
              <w:lang w:val="en-US"/>
            </w:rPr>
            <w:t>www.polimi.it</w:t>
          </w:r>
        </w:p>
      </w:tc>
      <w:tc>
        <w:tcPr>
          <w:tcW w:w="236" w:type="dxa"/>
          <w:shd w:val="clear" w:color="auto" w:fill="auto"/>
        </w:tcPr>
        <w:p w:rsidR="00F94B09" w:rsidRPr="00973E34" w:rsidRDefault="00F94B09" w:rsidP="00F94B09">
          <w:pPr>
            <w:pStyle w:val="Pidipagina"/>
            <w:rPr>
              <w:lang w:val="en-US"/>
            </w:rPr>
          </w:pPr>
        </w:p>
      </w:tc>
      <w:tc>
        <w:tcPr>
          <w:tcW w:w="2676" w:type="dxa"/>
          <w:shd w:val="clear" w:color="auto" w:fill="auto"/>
        </w:tcPr>
        <w:p w:rsidR="00723442" w:rsidRPr="00723442" w:rsidRDefault="00723442" w:rsidP="00723442">
          <w:pPr>
            <w:pStyle w:val="Pidipagina"/>
            <w:rPr>
              <w:rFonts w:ascii="Georgia" w:hAnsi="Georgia" w:cs="Georgia"/>
              <w:sz w:val="16"/>
              <w:szCs w:val="16"/>
            </w:rPr>
          </w:pPr>
          <w:r w:rsidRPr="00723442">
            <w:rPr>
              <w:rFonts w:ascii="Georgia" w:hAnsi="Georgia" w:cs="Georgia"/>
              <w:sz w:val="16"/>
              <w:szCs w:val="16"/>
            </w:rPr>
            <w:t>Partita Iva 04376620151</w:t>
          </w:r>
        </w:p>
        <w:p w:rsidR="00CC06CE" w:rsidRDefault="00723442" w:rsidP="00723442">
          <w:pPr>
            <w:pStyle w:val="Pidipagina"/>
          </w:pPr>
          <w:r w:rsidRPr="00723442">
            <w:rPr>
              <w:rFonts w:ascii="Georgia" w:hAnsi="Georgia" w:cs="Georgia"/>
              <w:sz w:val="16"/>
              <w:szCs w:val="16"/>
            </w:rPr>
            <w:t>Codice Fiscale 80057930150</w:t>
          </w:r>
        </w:p>
      </w:tc>
    </w:tr>
  </w:tbl>
  <w:p w:rsidR="00076022" w:rsidRPr="00F94B09" w:rsidRDefault="00076022"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10" w:rsidRDefault="00724110">
      <w:r>
        <w:separator/>
      </w:r>
    </w:p>
  </w:footnote>
  <w:footnote w:type="continuationSeparator" w:id="0">
    <w:p w:rsidR="00724110" w:rsidRDefault="0072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022" w:rsidRDefault="00916531">
    <w:r>
      <w:rPr>
        <w:noProof/>
      </w:rPr>
      <w:drawing>
        <wp:anchor distT="0" distB="0" distL="114300" distR="114300" simplePos="0" relativeHeight="251658240"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5" name="Immagine 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022" w:rsidRDefault="000760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8BB" w:rsidRDefault="00916531">
    <w:pPr>
      <w:pStyle w:val="Intestazione"/>
    </w:pPr>
    <w:r>
      <w:rPr>
        <w:noProof/>
      </w:rPr>
      <w:drawing>
        <wp:anchor distT="0" distB="0" distL="114300" distR="114300" simplePos="0" relativeHeight="251657216"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4" name="Immagine 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F2"/>
    <w:rsid w:val="00036012"/>
    <w:rsid w:val="00076022"/>
    <w:rsid w:val="00090887"/>
    <w:rsid w:val="000D6D93"/>
    <w:rsid w:val="000E1E20"/>
    <w:rsid w:val="00105C37"/>
    <w:rsid w:val="00113FAE"/>
    <w:rsid w:val="00163E3A"/>
    <w:rsid w:val="001832BE"/>
    <w:rsid w:val="00184B5D"/>
    <w:rsid w:val="00185F33"/>
    <w:rsid w:val="001C3AE8"/>
    <w:rsid w:val="001D2011"/>
    <w:rsid w:val="001D20DA"/>
    <w:rsid w:val="001D5F07"/>
    <w:rsid w:val="001D7751"/>
    <w:rsid w:val="001F55A3"/>
    <w:rsid w:val="002430FF"/>
    <w:rsid w:val="00254F13"/>
    <w:rsid w:val="00255F16"/>
    <w:rsid w:val="00275FDD"/>
    <w:rsid w:val="00280742"/>
    <w:rsid w:val="002949FE"/>
    <w:rsid w:val="002C2A82"/>
    <w:rsid w:val="002D7B1C"/>
    <w:rsid w:val="002E1739"/>
    <w:rsid w:val="002E43CF"/>
    <w:rsid w:val="002F076A"/>
    <w:rsid w:val="003254EA"/>
    <w:rsid w:val="0032584E"/>
    <w:rsid w:val="00344ED6"/>
    <w:rsid w:val="003734B8"/>
    <w:rsid w:val="00374082"/>
    <w:rsid w:val="003D36CB"/>
    <w:rsid w:val="003F73FB"/>
    <w:rsid w:val="0045568B"/>
    <w:rsid w:val="00475B1B"/>
    <w:rsid w:val="004D1831"/>
    <w:rsid w:val="004E68BB"/>
    <w:rsid w:val="005075EF"/>
    <w:rsid w:val="005506CD"/>
    <w:rsid w:val="006346CD"/>
    <w:rsid w:val="00651BC1"/>
    <w:rsid w:val="00655C5E"/>
    <w:rsid w:val="00655E61"/>
    <w:rsid w:val="00656EA7"/>
    <w:rsid w:val="00663083"/>
    <w:rsid w:val="006903B5"/>
    <w:rsid w:val="006B2D22"/>
    <w:rsid w:val="006E4080"/>
    <w:rsid w:val="0071719C"/>
    <w:rsid w:val="0071799F"/>
    <w:rsid w:val="007203DE"/>
    <w:rsid w:val="00723442"/>
    <w:rsid w:val="00724110"/>
    <w:rsid w:val="00781560"/>
    <w:rsid w:val="00781BB3"/>
    <w:rsid w:val="0079564F"/>
    <w:rsid w:val="007C0139"/>
    <w:rsid w:val="007C3992"/>
    <w:rsid w:val="007D00BD"/>
    <w:rsid w:val="0082699C"/>
    <w:rsid w:val="00844856"/>
    <w:rsid w:val="008B41AF"/>
    <w:rsid w:val="00903050"/>
    <w:rsid w:val="00905F97"/>
    <w:rsid w:val="00912261"/>
    <w:rsid w:val="00916531"/>
    <w:rsid w:val="0096228E"/>
    <w:rsid w:val="00973E34"/>
    <w:rsid w:val="009767D2"/>
    <w:rsid w:val="009933EB"/>
    <w:rsid w:val="009B33ED"/>
    <w:rsid w:val="009F558B"/>
    <w:rsid w:val="00A266E3"/>
    <w:rsid w:val="00A35DC9"/>
    <w:rsid w:val="00A50A47"/>
    <w:rsid w:val="00A52723"/>
    <w:rsid w:val="00A61E38"/>
    <w:rsid w:val="00AF1A66"/>
    <w:rsid w:val="00B1325C"/>
    <w:rsid w:val="00B46F88"/>
    <w:rsid w:val="00B61092"/>
    <w:rsid w:val="00BA1F8D"/>
    <w:rsid w:val="00BC1D7C"/>
    <w:rsid w:val="00BC42C6"/>
    <w:rsid w:val="00BD2179"/>
    <w:rsid w:val="00BD390A"/>
    <w:rsid w:val="00C11628"/>
    <w:rsid w:val="00C457BD"/>
    <w:rsid w:val="00C677A7"/>
    <w:rsid w:val="00C83E57"/>
    <w:rsid w:val="00CC06CE"/>
    <w:rsid w:val="00CD402B"/>
    <w:rsid w:val="00CD525E"/>
    <w:rsid w:val="00D04315"/>
    <w:rsid w:val="00D06375"/>
    <w:rsid w:val="00D52CC6"/>
    <w:rsid w:val="00D54E90"/>
    <w:rsid w:val="00DC5044"/>
    <w:rsid w:val="00DC70F6"/>
    <w:rsid w:val="00DF7E30"/>
    <w:rsid w:val="00E0110C"/>
    <w:rsid w:val="00E33DDB"/>
    <w:rsid w:val="00E512E3"/>
    <w:rsid w:val="00E61BDF"/>
    <w:rsid w:val="00E72B23"/>
    <w:rsid w:val="00EE52A3"/>
    <w:rsid w:val="00EF5580"/>
    <w:rsid w:val="00F02DF2"/>
    <w:rsid w:val="00F12487"/>
    <w:rsid w:val="00F455F0"/>
    <w:rsid w:val="00F573E2"/>
    <w:rsid w:val="00F83DD7"/>
    <w:rsid w:val="00F94B09"/>
    <w:rsid w:val="00F95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FCAAFB"/>
  <w15:chartTrackingRefBased/>
  <w15:docId w15:val="{E677A688-3EA6-410D-B7FA-424D352C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customStyle="1" w:styleId="Default">
    <w:name w:val="Default"/>
    <w:rsid w:val="00655C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4368">
      <w:bodyDiv w:val="1"/>
      <w:marLeft w:val="0"/>
      <w:marRight w:val="0"/>
      <w:marTop w:val="0"/>
      <w:marBottom w:val="0"/>
      <w:divBdr>
        <w:top w:val="none" w:sz="0" w:space="0" w:color="auto"/>
        <w:left w:val="none" w:sz="0" w:space="0" w:color="auto"/>
        <w:bottom w:val="none" w:sz="0" w:space="0" w:color="auto"/>
        <w:right w:val="none" w:sz="0" w:space="0" w:color="auto"/>
      </w:divBdr>
    </w:div>
    <w:div w:id="210920983">
      <w:bodyDiv w:val="1"/>
      <w:marLeft w:val="0"/>
      <w:marRight w:val="0"/>
      <w:marTop w:val="0"/>
      <w:marBottom w:val="0"/>
      <w:divBdr>
        <w:top w:val="none" w:sz="0" w:space="0" w:color="auto"/>
        <w:left w:val="none" w:sz="0" w:space="0" w:color="auto"/>
        <w:bottom w:val="none" w:sz="0" w:space="0" w:color="auto"/>
        <w:right w:val="none" w:sz="0" w:space="0" w:color="auto"/>
      </w:divBdr>
    </w:div>
    <w:div w:id="612713796">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 w:id="19481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Template>
  <TotalTime>13</TotalTime>
  <Pages>2</Pages>
  <Words>448</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3174</CharactersWithSpaces>
  <SharedDoc>false</SharedDoc>
  <HLinks>
    <vt:vector size="6" baseType="variant">
      <vt:variant>
        <vt:i4>6422566</vt:i4>
      </vt:variant>
      <vt:variant>
        <vt:i4>0</vt:i4>
      </vt:variant>
      <vt:variant>
        <vt:i4>0</vt:i4>
      </vt:variant>
      <vt:variant>
        <vt:i4>5</vt:i4>
      </vt:variant>
      <vt:variant>
        <vt:lpwstr>http://www.polimi.it/imprese/partecipaaunagara/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010615</dc:creator>
  <cp:keywords/>
  <cp:lastModifiedBy>Stefano Frontini</cp:lastModifiedBy>
  <cp:revision>9</cp:revision>
  <cp:lastPrinted>2017-05-29T10:42:00Z</cp:lastPrinted>
  <dcterms:created xsi:type="dcterms:W3CDTF">2017-06-01T12:20:00Z</dcterms:created>
  <dcterms:modified xsi:type="dcterms:W3CDTF">2017-06-01T13:05:00Z</dcterms:modified>
</cp:coreProperties>
</file>