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4" w:rsidRPr="001D7751" w:rsidRDefault="00916531" w:rsidP="00916531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FORNITURA DEI SERVIZI DI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MANUTENZIONE ORDINARIA E STRAORDINARIA DEGLI IMPIANTI ELEVATORI NELL’AMBITO DEL BANDO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ISTITUTIVO AVENTE AD OGGETTO IL SISTEMA DINAMICO DI ACQUISIZIONE DELLA PUBBLICA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AMMINISTRAZIONE PER LA FORNITURA DEI SERVIZI DI MANUTENZIONE DEGLI IMPIANTI ELEVATORI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-</w:t>
      </w:r>
      <w:r w:rsidR="00DC5044" w:rsidRPr="001D7751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CIG N° 7084619C89</w:t>
      </w:r>
    </w:p>
    <w:p w:rsidR="00DC5044" w:rsidRPr="001D7751" w:rsidRDefault="00DC5044" w:rsidP="00DC504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C5044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CHIARIMENTI 1</w:t>
      </w:r>
    </w:p>
    <w:p w:rsidR="00916531" w:rsidRPr="001D7751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u w:val="single"/>
          <w:lang w:eastAsia="en-US"/>
        </w:rPr>
      </w:pP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D1) Con riferimento alle dichiarazioni che ciascun subappaltatore dovrà produrre, si chiede se le stesse possano essere sottoscritte con firma olografa e successivamente controfirmate digitalmente dall'operatore economico partecipante alla procedura. Certi di Vs cortese e pronto riscontro, porgiamo cordiali saluti.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R1) In merito alle dichiarazioni che ciascun subappaltatore dovrà produrre si comunica che è preferibile che tali dichiarazioni siano firmate digitalmente da ciascun subappaltatore e controfirmate dall’operatore economico partecipante alla procedura. Tuttavia verranno accettate le dichiarazioni di ciascun subappaltatore con firma olografa e controfirmate digitalmente dall’operatore economico partecipante alla procedura purché venga allegato ad ogni documento sottoscritto dai subappaltatori un documento d’identità in corso di validità (es. Carta d’identità) del dichiarante.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D2) Buongiorno, è obbligatorio possedere le CERTIFICAZIONI OHSAS 18001e SA 8000ai fini della partecipazione alla gara o il possesso fa solo punteggio</w:t>
      </w:r>
      <w:r w:rsidR="00B61092">
        <w:rPr>
          <w:rFonts w:ascii="Calibri" w:hAnsi="Calibri" w:cs="Calibri"/>
          <w:sz w:val="22"/>
          <w:szCs w:val="22"/>
        </w:rPr>
        <w:t>? Grazie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 xml:space="preserve">R2) Non è obbligatorio possedere la certificazione OHSAS 18001 </w:t>
      </w:r>
      <w:r w:rsidR="00B61092">
        <w:rPr>
          <w:rFonts w:ascii="Calibri" w:hAnsi="Calibri" w:cs="Calibri"/>
          <w:sz w:val="22"/>
          <w:szCs w:val="22"/>
        </w:rPr>
        <w:t xml:space="preserve">e </w:t>
      </w:r>
      <w:r w:rsidR="00B61092" w:rsidRPr="00B61092">
        <w:rPr>
          <w:rFonts w:ascii="Calibri" w:hAnsi="Calibri" w:cs="Calibri"/>
          <w:sz w:val="22"/>
          <w:szCs w:val="22"/>
        </w:rPr>
        <w:t>SA 8000</w:t>
      </w:r>
      <w:r w:rsidR="00B61092">
        <w:rPr>
          <w:rFonts w:ascii="Calibri" w:hAnsi="Calibri" w:cs="Calibri"/>
          <w:sz w:val="22"/>
          <w:szCs w:val="22"/>
        </w:rPr>
        <w:t xml:space="preserve"> in quanto tali</w:t>
      </w:r>
      <w:r w:rsidRPr="00916531">
        <w:rPr>
          <w:rFonts w:ascii="Calibri" w:hAnsi="Calibri" w:cs="Calibri"/>
          <w:sz w:val="22"/>
          <w:szCs w:val="22"/>
        </w:rPr>
        <w:t xml:space="preserve"> certificazion</w:t>
      </w:r>
      <w:r w:rsidR="00B61092">
        <w:rPr>
          <w:rFonts w:ascii="Calibri" w:hAnsi="Calibri" w:cs="Calibri"/>
          <w:sz w:val="22"/>
          <w:szCs w:val="22"/>
        </w:rPr>
        <w:t>i</w:t>
      </w:r>
      <w:r w:rsidRPr="00916531">
        <w:rPr>
          <w:rFonts w:ascii="Calibri" w:hAnsi="Calibri" w:cs="Calibri"/>
          <w:sz w:val="22"/>
          <w:szCs w:val="22"/>
        </w:rPr>
        <w:t xml:space="preserve"> </w:t>
      </w:r>
      <w:r w:rsidR="00B61092">
        <w:rPr>
          <w:rFonts w:ascii="Calibri" w:hAnsi="Calibri" w:cs="Calibri"/>
          <w:sz w:val="22"/>
          <w:szCs w:val="22"/>
        </w:rPr>
        <w:t>sono</w:t>
      </w:r>
      <w:r w:rsidRPr="00916531">
        <w:rPr>
          <w:rFonts w:ascii="Calibri" w:hAnsi="Calibri" w:cs="Calibri"/>
          <w:sz w:val="22"/>
          <w:szCs w:val="22"/>
        </w:rPr>
        <w:t xml:space="preserve"> oggetto di punteggio t</w:t>
      </w:r>
      <w:bookmarkStart w:id="0" w:name="_GoBack"/>
      <w:bookmarkEnd w:id="0"/>
      <w:r w:rsidRPr="00916531">
        <w:rPr>
          <w:rFonts w:ascii="Calibri" w:hAnsi="Calibri" w:cs="Calibri"/>
          <w:sz w:val="22"/>
          <w:szCs w:val="22"/>
        </w:rPr>
        <w:t>ecnico di natura tabellare come indicato nel capitolato tecnico.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D3) Nelle schede tecniche pag. 12 che ricalcano il dettaglio "Compila scheda tecnica" relativa all'offerta tecnica, da compilare, viene citato per ogni criterio "descrizione completa nell'Appendice 1 al Capitolato d'Oneri" Non si riesce a riscontrare nella documentazione di gara tale appendice che dovrebbe indicare le caratteristiche richiesta da codesta stazione appaltante Si chiede pertanto di ricevere l'appendice 1 dove sono indicate le descrizioni relative ai criteri Grazie e cordiali saluti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R3) Tale documento non è stato generato dal Politecnico di Milano, il documento denominato “APPENDICE 1 AL CAPITOLATO D’ONERI PER L’ISTITUZIONE DEL SISTEMA DINAMICO DI ACQUISIZIONE DELLA PUBBLICA AMMINISTRAZIONE AI SENSI DELL’ART. 55 DEL D. LGS. N. 50/2016 PER LA FORNITURA DEISERVIZI DI MANUTENZIONE DEGLI IMPIANTI ELEVATORI” è un documento standard generato da Consip</w:t>
      </w:r>
      <w:r w:rsidR="00B61092">
        <w:rPr>
          <w:rFonts w:ascii="Calibri" w:hAnsi="Calibri" w:cs="Calibri"/>
          <w:sz w:val="22"/>
          <w:szCs w:val="22"/>
        </w:rPr>
        <w:t xml:space="preserve"> </w:t>
      </w:r>
      <w:r w:rsidRPr="00916531">
        <w:rPr>
          <w:rFonts w:ascii="Calibri" w:hAnsi="Calibri" w:cs="Calibri"/>
          <w:sz w:val="22"/>
          <w:szCs w:val="22"/>
        </w:rPr>
        <w:t xml:space="preserve">ed allegato all’iniziativa per il “Sistema Dinamico di Acquisizione per la Pubblica Amministrazione </w:t>
      </w:r>
      <w:r w:rsidRPr="00916531">
        <w:rPr>
          <w:rFonts w:ascii="Calibri" w:hAnsi="Calibri" w:cs="Calibri"/>
          <w:sz w:val="22"/>
          <w:szCs w:val="22"/>
        </w:rPr>
        <w:lastRenderedPageBreak/>
        <w:t>(SDAPA) per la fornitura dei servizi di manutenzione degli impianti elevatori” caricato sul portale.</w:t>
      </w: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916531" w:rsidRPr="00916531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 xml:space="preserve">D4) Tra la documentazione di gara è fornito il file "Allegato A Allegato Alle Schede Tecniche Elenco Degli Impianti </w:t>
      </w:r>
      <w:proofErr w:type="spellStart"/>
      <w:r w:rsidRPr="00916531">
        <w:rPr>
          <w:rFonts w:ascii="Calibri" w:hAnsi="Calibri" w:cs="Calibri"/>
          <w:sz w:val="22"/>
          <w:szCs w:val="22"/>
        </w:rPr>
        <w:t>Def</w:t>
      </w:r>
      <w:proofErr w:type="spellEnd"/>
      <w:r w:rsidRPr="00916531">
        <w:rPr>
          <w:rFonts w:ascii="Calibri" w:hAnsi="Calibri" w:cs="Calibri"/>
          <w:sz w:val="22"/>
          <w:szCs w:val="22"/>
        </w:rPr>
        <w:t>".si chiede conferma che tale file non debba essere inserito tra la documentazione da inviare, NON ESSENDO PREVISTO UN APPOSITO CAMPO TRA LA DOCUMENTAZIONE RICHIESTA CHE OGNI CONCORRENTE DEVE PRODURRE. Grazie e cordiali saluti</w:t>
      </w:r>
    </w:p>
    <w:p w:rsidR="00CD525E" w:rsidRDefault="00916531" w:rsidP="00B61092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916531">
        <w:rPr>
          <w:rFonts w:ascii="Calibri" w:hAnsi="Calibri" w:cs="Calibri"/>
          <w:sz w:val="22"/>
          <w:szCs w:val="22"/>
        </w:rPr>
        <w:t>R4) Si conferma che tale documento denominato “Allegato A Allegato Alle Schede Tecniche Elenco Degli Impianti” non dovrà essere caricato sul portale per l’invio in quanto non richiesto agli operatori economici.</w:t>
      </w:r>
    </w:p>
    <w:p w:rsidR="00916531" w:rsidRDefault="00916531" w:rsidP="00CD525E">
      <w:pPr>
        <w:pStyle w:val="Paragrafobase"/>
        <w:rPr>
          <w:rFonts w:ascii="Calibri" w:hAnsi="Calibri" w:cs="Calibri"/>
          <w:sz w:val="22"/>
          <w:szCs w:val="22"/>
        </w:rPr>
      </w:pPr>
    </w:p>
    <w:p w:rsidR="00916531" w:rsidRPr="00724110" w:rsidRDefault="00B61092" w:rsidP="00CD525E">
      <w:pPr>
        <w:pStyle w:val="Paragrafobas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RUP</w:t>
      </w:r>
    </w:p>
    <w:sectPr w:rsidR="00916531" w:rsidRPr="00724110" w:rsidSect="00D04315">
      <w:headerReference w:type="default" r:id="rId6"/>
      <w:headerReference w:type="first" r:id="rId7"/>
      <w:footerReference w:type="first" r:id="rId8"/>
      <w:type w:val="continuous"/>
      <w:pgSz w:w="11906" w:h="16838" w:code="9"/>
      <w:pgMar w:top="2835" w:right="1134" w:bottom="1559" w:left="2835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10" w:rsidRDefault="00724110">
      <w:r>
        <w:separator/>
      </w:r>
    </w:p>
  </w:endnote>
  <w:endnote w:type="continuationSeparator" w:id="0">
    <w:p w:rsidR="00724110" w:rsidRDefault="007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667"/>
      <w:gridCol w:w="236"/>
      <w:gridCol w:w="2667"/>
    </w:tblGrid>
    <w:tr w:rsidR="00F94B09" w:rsidTr="008B41AF">
      <w:tc>
        <w:tcPr>
          <w:tcW w:w="2676" w:type="dxa"/>
          <w:shd w:val="clear" w:color="auto" w:fill="auto"/>
        </w:tcPr>
        <w:p w:rsidR="00DF7E30" w:rsidRDefault="00DF7E30" w:rsidP="00DF7E30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A31168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Area Gestione Infrastrutture e Servizi</w:t>
          </w:r>
        </w:p>
        <w:p w:rsidR="00DF7E30" w:rsidRPr="00A31168" w:rsidRDefault="00DF7E30" w:rsidP="00DF7E30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A31168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:rsidR="00EF5580" w:rsidRDefault="00DF7E30" w:rsidP="00DF7E30">
          <w:pPr>
            <w:autoSpaceDE w:val="0"/>
            <w:autoSpaceDN w:val="0"/>
            <w:adjustRightInd w:val="0"/>
          </w:pPr>
          <w:r w:rsidRPr="00A31168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:rsidR="00F94B09" w:rsidRDefault="00F94B09" w:rsidP="00F94B09">
          <w:pPr>
            <w:pStyle w:val="Pidipagina"/>
          </w:pPr>
        </w:p>
      </w:tc>
      <w:tc>
        <w:tcPr>
          <w:tcW w:w="2676" w:type="dxa"/>
          <w:shd w:val="clear" w:color="auto" w:fill="auto"/>
          <w:vAlign w:val="center"/>
        </w:tcPr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Tel. 02 23999300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>
            <w:rPr>
              <w:rFonts w:ascii="Georgia" w:hAnsi="Georgia" w:cs="Georgia"/>
              <w:sz w:val="16"/>
              <w:szCs w:val="16"/>
              <w:lang w:val="en-US"/>
            </w:rPr>
            <w:t>Fax 02 23992076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:rsidR="00CC06CE" w:rsidRPr="00973E34" w:rsidRDefault="00DF7E30" w:rsidP="00DF7E30">
          <w:pPr>
            <w:pStyle w:val="Pidipagina"/>
            <w:rPr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:rsidR="00F94B09" w:rsidRPr="00973E34" w:rsidRDefault="00F94B09" w:rsidP="00F94B09">
          <w:pPr>
            <w:pStyle w:val="Pidipagina"/>
            <w:rPr>
              <w:lang w:val="en-US"/>
            </w:rPr>
          </w:pPr>
        </w:p>
      </w:tc>
      <w:tc>
        <w:tcPr>
          <w:tcW w:w="2676" w:type="dxa"/>
          <w:shd w:val="clear" w:color="auto" w:fill="auto"/>
        </w:tcPr>
        <w:p w:rsidR="00723442" w:rsidRPr="00723442" w:rsidRDefault="00723442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723442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:rsidR="00CC06CE" w:rsidRDefault="00723442" w:rsidP="00723442">
          <w:pPr>
            <w:pStyle w:val="Pidipagina"/>
          </w:pPr>
          <w:r w:rsidRPr="00723442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:rsidR="00076022" w:rsidRPr="00F94B09" w:rsidRDefault="00076022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10" w:rsidRDefault="00724110">
      <w:r>
        <w:separator/>
      </w:r>
    </w:p>
  </w:footnote>
  <w:footnote w:type="continuationSeparator" w:id="0">
    <w:p w:rsidR="00724110" w:rsidRDefault="0072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22" w:rsidRDefault="00916531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022" w:rsidRDefault="000760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BB" w:rsidRDefault="00916531">
    <w:pPr>
      <w:pStyle w:val="Intestazione"/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36012"/>
    <w:rsid w:val="00076022"/>
    <w:rsid w:val="00090887"/>
    <w:rsid w:val="000D6D93"/>
    <w:rsid w:val="000E1E20"/>
    <w:rsid w:val="00105C37"/>
    <w:rsid w:val="00113FAE"/>
    <w:rsid w:val="00163E3A"/>
    <w:rsid w:val="001832BE"/>
    <w:rsid w:val="00184B5D"/>
    <w:rsid w:val="00185F33"/>
    <w:rsid w:val="001C3AE8"/>
    <w:rsid w:val="001D2011"/>
    <w:rsid w:val="001D20DA"/>
    <w:rsid w:val="001D5F07"/>
    <w:rsid w:val="001D7751"/>
    <w:rsid w:val="001F55A3"/>
    <w:rsid w:val="00254F13"/>
    <w:rsid w:val="00255F16"/>
    <w:rsid w:val="00275FDD"/>
    <w:rsid w:val="00280742"/>
    <w:rsid w:val="002949FE"/>
    <w:rsid w:val="002C2A82"/>
    <w:rsid w:val="002D7B1C"/>
    <w:rsid w:val="002E1739"/>
    <w:rsid w:val="002E43CF"/>
    <w:rsid w:val="002F076A"/>
    <w:rsid w:val="003254EA"/>
    <w:rsid w:val="0032584E"/>
    <w:rsid w:val="003734B8"/>
    <w:rsid w:val="00374082"/>
    <w:rsid w:val="003D36CB"/>
    <w:rsid w:val="0045568B"/>
    <w:rsid w:val="004D1831"/>
    <w:rsid w:val="004E68BB"/>
    <w:rsid w:val="005075EF"/>
    <w:rsid w:val="005506CD"/>
    <w:rsid w:val="006346CD"/>
    <w:rsid w:val="00651BC1"/>
    <w:rsid w:val="00655C5E"/>
    <w:rsid w:val="00655E61"/>
    <w:rsid w:val="00656EA7"/>
    <w:rsid w:val="00663083"/>
    <w:rsid w:val="006903B5"/>
    <w:rsid w:val="006B2D22"/>
    <w:rsid w:val="006E4080"/>
    <w:rsid w:val="0071719C"/>
    <w:rsid w:val="0071799F"/>
    <w:rsid w:val="007203DE"/>
    <w:rsid w:val="00723442"/>
    <w:rsid w:val="00724110"/>
    <w:rsid w:val="00781560"/>
    <w:rsid w:val="00781BB3"/>
    <w:rsid w:val="0079564F"/>
    <w:rsid w:val="007C0139"/>
    <w:rsid w:val="007C3992"/>
    <w:rsid w:val="007D00BD"/>
    <w:rsid w:val="0082699C"/>
    <w:rsid w:val="00844856"/>
    <w:rsid w:val="008B41AF"/>
    <w:rsid w:val="00903050"/>
    <w:rsid w:val="00905F97"/>
    <w:rsid w:val="00912261"/>
    <w:rsid w:val="00916531"/>
    <w:rsid w:val="0096228E"/>
    <w:rsid w:val="00973E34"/>
    <w:rsid w:val="009767D2"/>
    <w:rsid w:val="009933EB"/>
    <w:rsid w:val="009B33ED"/>
    <w:rsid w:val="009F558B"/>
    <w:rsid w:val="00A266E3"/>
    <w:rsid w:val="00A35DC9"/>
    <w:rsid w:val="00A50A47"/>
    <w:rsid w:val="00A61E38"/>
    <w:rsid w:val="00AF1A66"/>
    <w:rsid w:val="00B1325C"/>
    <w:rsid w:val="00B46F88"/>
    <w:rsid w:val="00B61092"/>
    <w:rsid w:val="00BA1F8D"/>
    <w:rsid w:val="00BC1D7C"/>
    <w:rsid w:val="00BC42C6"/>
    <w:rsid w:val="00BD2179"/>
    <w:rsid w:val="00BD390A"/>
    <w:rsid w:val="00C11628"/>
    <w:rsid w:val="00C457BD"/>
    <w:rsid w:val="00C677A7"/>
    <w:rsid w:val="00C83E57"/>
    <w:rsid w:val="00CC06CE"/>
    <w:rsid w:val="00CD402B"/>
    <w:rsid w:val="00CD525E"/>
    <w:rsid w:val="00D04315"/>
    <w:rsid w:val="00D06375"/>
    <w:rsid w:val="00D52CC6"/>
    <w:rsid w:val="00D54E90"/>
    <w:rsid w:val="00DC5044"/>
    <w:rsid w:val="00DC70F6"/>
    <w:rsid w:val="00DF7E30"/>
    <w:rsid w:val="00E0110C"/>
    <w:rsid w:val="00E512E3"/>
    <w:rsid w:val="00E72B23"/>
    <w:rsid w:val="00EE52A3"/>
    <w:rsid w:val="00EF5580"/>
    <w:rsid w:val="00F02DF2"/>
    <w:rsid w:val="00F12487"/>
    <w:rsid w:val="00F455F0"/>
    <w:rsid w:val="00F573E2"/>
    <w:rsid w:val="00F83DD7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67F6A6"/>
  <w15:chartTrackingRefBased/>
  <w15:docId w15:val="{E677A688-3EA6-410D-B7FA-424D352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5C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6</TotalTime>
  <Pages>2</Pages>
  <Words>442</Words>
  <Characters>2761</Characters>
  <Application>Microsoft Office Word</Application>
  <DocSecurity>0</DocSecurity>
  <Lines>55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3191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http://www.polimi.it/imprese/partecipaaunagara/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subject/>
  <dc:creator>010615</dc:creator>
  <cp:keywords/>
  <cp:lastModifiedBy>Stefano Frontini</cp:lastModifiedBy>
  <cp:revision>3</cp:revision>
  <cp:lastPrinted>2017-05-29T10:42:00Z</cp:lastPrinted>
  <dcterms:created xsi:type="dcterms:W3CDTF">2017-05-30T10:28:00Z</dcterms:created>
  <dcterms:modified xsi:type="dcterms:W3CDTF">2017-05-30T10:34:00Z</dcterms:modified>
</cp:coreProperties>
</file>